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sz w:val="20"/>
        </w:rPr>
        <w:t>2026-2027 EĞİTİM – ÖĞRETİM YILI ………………………………… ORTAOKULU</w:t>
      </w:r>
    </w:p>
    <w:p>
      <w:pPr>
        <w:spacing w:after="60"/>
        <w:jc w:val="center"/>
      </w:pPr>
      <w:r>
        <w:rPr>
          <w:rFonts w:ascii="Arial" w:hAnsi="Arial" w:eastAsia="Arial"/>
          <w:b/>
          <w:sz w:val="22"/>
        </w:rPr>
        <w:t>6. SINIF BİLİŞİM TEKNOLOJİLERİ VE YAZILIM DERSİ GÜNLÜK DERS PLANI</w:t>
      </w:r>
    </w:p>
    <w:p>
      <w:pPr>
        <w:pStyle w:val="SectionHead"/>
        <w:jc w:val="left"/>
      </w:pPr>
      <w:r>
        <w:rPr>
          <w:color w:val="1F4E78"/>
        </w:rPr>
        <w:t>I. BÖLÜM: DERS BİLGİSİ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2636"/>
        <w:gridCol w:w="2636"/>
        <w:gridCol w:w="2636"/>
        <w:gridCol w:w="2636"/>
      </w:tblGrid>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Dersin Adı</w:t>
            </w:r>
          </w:p>
        </w:tc>
        <w:tc>
          <w:tcPr>
            <w:tcW w:type="dxa" w:w="3969"/>
            <w:vAlign w:val="center"/>
            <w:tcMar>
              <w:top w:w="55" w:type="dxa"/>
              <w:start w:w="70" w:type="dxa"/>
              <w:bottom w:w="55" w:type="dxa"/>
              <w:end w:w="70" w:type="dxa"/>
            </w:tcMar>
          </w:tcPr>
          <w:p>
            <w:pPr>
              <w:spacing w:after="0" w:before="0" w:line="240" w:lineRule="auto"/>
            </w:pPr>
            <w:r>
              <w:rPr>
                <w:b w:val="0"/>
                <w:sz w:val="16"/>
              </w:rPr>
              <w:t>Bilişim Teknolojileri ve Yazılım</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Tarih / Hafta</w:t>
            </w:r>
          </w:p>
        </w:tc>
        <w:tc>
          <w:tcPr>
            <w:tcW w:type="dxa" w:w="3855"/>
            <w:vAlign w:val="center"/>
            <w:tcMar>
              <w:top w:w="55" w:type="dxa"/>
              <w:start w:w="70" w:type="dxa"/>
              <w:bottom w:w="55" w:type="dxa"/>
              <w:end w:w="70" w:type="dxa"/>
            </w:tcMar>
          </w:tcPr>
          <w:p>
            <w:pPr>
              <w:spacing w:after="0" w:before="0" w:line="240" w:lineRule="auto"/>
            </w:pPr>
            <w:r>
              <w:rPr>
                <w:b w:val="0"/>
                <w:sz w:val="16"/>
              </w:rPr>
              <w:t>17 Mayıs - 21 Mayıs 2027 / 32. Hafta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Sınıf</w:t>
            </w:r>
          </w:p>
        </w:tc>
        <w:tc>
          <w:tcPr>
            <w:tcW w:type="dxa" w:w="3969"/>
            <w:vAlign w:val="center"/>
            <w:tcMar>
              <w:top w:w="55" w:type="dxa"/>
              <w:start w:w="70" w:type="dxa"/>
              <w:bottom w:w="55" w:type="dxa"/>
              <w:end w:w="70" w:type="dxa"/>
            </w:tcMar>
          </w:tcPr>
          <w:p>
            <w:pPr>
              <w:spacing w:after="0" w:before="0" w:line="240" w:lineRule="auto"/>
            </w:pPr>
            <w:r>
              <w:rPr>
                <w:b w:val="0"/>
                <w:sz w:val="16"/>
              </w:rPr>
              <w:t>6. Sınıf</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Süre</w:t>
            </w:r>
          </w:p>
        </w:tc>
        <w:tc>
          <w:tcPr>
            <w:tcW w:type="dxa" w:w="3855"/>
            <w:vAlign w:val="center"/>
            <w:tcMar>
              <w:top w:w="55" w:type="dxa"/>
              <w:start w:w="70" w:type="dxa"/>
              <w:bottom w:w="55" w:type="dxa"/>
              <w:end w:w="70" w:type="dxa"/>
            </w:tcMar>
          </w:tcPr>
          <w:p>
            <w:pPr>
              <w:spacing w:after="0" w:before="0" w:line="240" w:lineRule="auto"/>
            </w:pPr>
            <w:r>
              <w:rPr>
                <w:b w:val="0"/>
                <w:sz w:val="16"/>
              </w:rPr>
              <w:t>2 ders saati (80 dakika)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Tema / Ünite</w:t>
            </w:r>
          </w:p>
        </w:tc>
        <w:tc>
          <w:tcPr>
            <w:tcW w:type="dxa" w:w="9185"/>
            <w:vAlign w:val="center"/>
            <w:gridSpan w:val="3"/>
            <w:tcMar>
              <w:top w:w="55" w:type="dxa"/>
              <w:start w:w="70" w:type="dxa"/>
              <w:bottom w:w="55" w:type="dxa"/>
              <w:end w:w="70" w:type="dxa"/>
            </w:tcMar>
          </w:tcPr>
          <w:p>
            <w:pPr>
              <w:spacing w:after="0" w:before="0" w:line="240" w:lineRule="auto"/>
            </w:pPr>
            <w:r>
              <w:rPr>
                <w:b w:val="0"/>
                <w:sz w:val="16"/>
              </w:rPr>
              <w:t>Yazılım Tasarımı ve Programlama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İçerik Çerçevesi (Konu)</w:t>
            </w:r>
          </w:p>
        </w:tc>
        <w:tc>
          <w:tcPr>
            <w:tcW w:type="dxa" w:w="9185"/>
            <w:vAlign w:val="center"/>
            <w:gridSpan w:val="3"/>
            <w:tcMar>
              <w:top w:w="55" w:type="dxa"/>
              <w:start w:w="70" w:type="dxa"/>
              <w:bottom w:w="55" w:type="dxa"/>
              <w:end w:w="70" w:type="dxa"/>
            </w:tcMar>
          </w:tcPr>
          <w:p>
            <w:pPr>
              <w:spacing w:after="0" w:before="0" w:line="240" w:lineRule="auto"/>
            </w:pPr>
            <w:r>
              <w:rPr>
                <w:b w:val="0"/>
                <w:sz w:val="16"/>
              </w:rPr>
              <w:t>Yapay Zekâ Destekli Ürün Geliştirme ve Sunum</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Alan Becerileri</w:t>
            </w:r>
          </w:p>
        </w:tc>
        <w:tc>
          <w:tcPr>
            <w:tcW w:type="dxa" w:w="9185"/>
            <w:vAlign w:val="center"/>
            <w:gridSpan w:val="3"/>
            <w:tcMar>
              <w:top w:w="55" w:type="dxa"/>
              <w:start w:w="70" w:type="dxa"/>
              <w:bottom w:w="55" w:type="dxa"/>
              <w:end w:w="70" w:type="dxa"/>
            </w:tcMar>
          </w:tcPr>
          <w:p>
            <w:pPr>
              <w:spacing w:after="0" w:before="0" w:line="240" w:lineRule="auto"/>
            </w:pPr>
            <w:r>
              <w:rPr>
                <w:b w:val="0"/>
                <w:sz w:val="16"/>
              </w:rPr>
              <w:t>BTYAB3. Yazılım Geliştirme</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Kavramsal Beceriler</w:t>
            </w:r>
          </w:p>
        </w:tc>
        <w:tc>
          <w:tcPr>
            <w:tcW w:type="dxa" w:w="9185"/>
            <w:vAlign w:val="center"/>
            <w:gridSpan w:val="3"/>
            <w:tcMar>
              <w:top w:w="55" w:type="dxa"/>
              <w:start w:w="70" w:type="dxa"/>
              <w:bottom w:w="55" w:type="dxa"/>
              <w:end w:w="70" w:type="dxa"/>
            </w:tcMar>
          </w:tcPr>
          <w:p>
            <w:pPr>
              <w:spacing w:after="0" w:before="0" w:line="240" w:lineRule="auto"/>
            </w:pPr>
            <w:r>
              <w:rPr>
                <w:b w:val="0"/>
                <w:sz w:val="16"/>
              </w:rPr>
              <w:t>— (TYMM tema düzeyinde ayrıca belirtilmemiştir.)</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Eğilimler</w:t>
            </w:r>
          </w:p>
        </w:tc>
        <w:tc>
          <w:tcPr>
            <w:tcW w:type="dxa" w:w="9185"/>
            <w:vAlign w:val="center"/>
            <w:gridSpan w:val="3"/>
            <w:tcMar>
              <w:top w:w="55" w:type="dxa"/>
              <w:start w:w="70" w:type="dxa"/>
              <w:bottom w:w="55" w:type="dxa"/>
              <w:end w:w="70" w:type="dxa"/>
            </w:tcMar>
          </w:tcPr>
          <w:p>
            <w:pPr>
              <w:spacing w:after="0" w:before="0" w:line="240" w:lineRule="auto"/>
            </w:pPr>
            <w:r>
              <w:rPr>
                <w:b w:val="0"/>
                <w:sz w:val="16"/>
              </w:rPr>
              <w:t>E1.1. Merak, E2.1. Empati</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Anahtar Kavramlar</w:t>
            </w:r>
          </w:p>
        </w:tc>
        <w:tc>
          <w:tcPr>
            <w:tcW w:type="dxa" w:w="9185"/>
            <w:vAlign w:val="center"/>
            <w:gridSpan w:val="3"/>
            <w:tcMar>
              <w:top w:w="55" w:type="dxa"/>
              <w:start w:w="70" w:type="dxa"/>
              <w:bottom w:w="55" w:type="dxa"/>
              <w:end w:w="70" w:type="dxa"/>
            </w:tcMar>
          </w:tcPr>
          <w:p>
            <w:pPr>
              <w:spacing w:after="0" w:before="0" w:line="240" w:lineRule="auto"/>
            </w:pPr>
            <w:r>
              <w:rPr>
                <w:b w:val="0"/>
                <w:sz w:val="16"/>
              </w:rPr>
              <w:t>blok tabanlı programlama, döngüler, fonksiyon, hata ayıklama, karakter hareketleri, koşul blokları, planlama, proje, sürükle-bırak, yapay zekâ, yapay zekâ bileşenleri</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 Çıktısı ve</w:t>
              <w:br/>
              <w:t>Süreç Bileşenleri</w:t>
            </w:r>
          </w:p>
        </w:tc>
        <w:tc>
          <w:tcPr>
            <w:tcW w:type="dxa" w:w="9185"/>
            <w:vAlign w:val="center"/>
            <w:gridSpan w:val="3"/>
            <w:tcMar>
              <w:top w:w="55" w:type="dxa"/>
              <w:start w:w="70" w:type="dxa"/>
              <w:bottom w:w="55" w:type="dxa"/>
              <w:end w:w="70" w:type="dxa"/>
            </w:tcMar>
          </w:tcPr>
          <w:p>
            <w:pPr>
              <w:spacing w:after="0" w:before="0" w:line="240" w:lineRule="auto"/>
            </w:pPr>
            <w:r>
              <w:rPr>
                <w:b w:val="0"/>
                <w:sz w:val="16"/>
              </w:rPr>
              <w:t>BTY.6.6.3. Blok tabanlı ortamda yapay zekâ destekli ürün ortaya koyabilme</w:t>
              <w:br/>
              <w:t>a) Blok tabanlı ortamda yapay zekâ destekli ürün için gereksinimleri belirler.</w:t>
              <w:br/>
              <w:t>b) Blok tabanlı ortamda yapay zekâ destekli ürün için kullanılacak araç gereçleri seçer.</w:t>
              <w:br/>
              <w:t>c) Blok tabanlı ortamda yapay zekâ destekli ürün oluşturur.</w:t>
              <w:br/>
              <w:t>ç) Blok tabanlı ortamda yapay zekâ destekli ürünü belirlenen ölçütleri karşılayacak şekilde çalışır hâle getirir.</w:t>
            </w:r>
            <w:r>
              <w:rPr>
                <w:rFonts w:ascii="Arial" w:hAnsi="Arial" w:eastAsia="Arial"/>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Yöntem / Teknik</w:t>
            </w:r>
          </w:p>
        </w:tc>
        <w:tc>
          <w:tcPr>
            <w:tcW w:type="dxa" w:w="3969"/>
            <w:vAlign w:val="center"/>
            <w:tcMar>
              <w:top w:w="55" w:type="dxa"/>
              <w:start w:w="70" w:type="dxa"/>
              <w:bottom w:w="55" w:type="dxa"/>
              <w:end w:w="70" w:type="dxa"/>
            </w:tcMar>
          </w:tcPr>
          <w:p>
            <w:pPr>
              <w:spacing w:after="0" w:before="0" w:line="240" w:lineRule="auto"/>
            </w:pPr>
            <w:r>
              <w:rPr>
                <w:b w:val="0"/>
                <w:sz w:val="16"/>
              </w:rPr>
              <w:t>proje tabanlı öğrenme, gösterip yaptırma, problem çözme, iş birlikli öğrenme, hata ayıklama, akran değerlendirme</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Araç-Gereç / Materyal</w:t>
            </w:r>
          </w:p>
        </w:tc>
        <w:tc>
          <w:tcPr>
            <w:tcW w:type="dxa" w:w="3855"/>
            <w:vAlign w:val="center"/>
            <w:tcMar>
              <w:top w:w="55" w:type="dxa"/>
              <w:start w:w="70" w:type="dxa"/>
              <w:bottom w:w="55" w:type="dxa"/>
              <w:end w:w="70" w:type="dxa"/>
            </w:tcMar>
          </w:tcPr>
          <w:p>
            <w:pPr>
              <w:spacing w:after="0" w:before="0" w:line="240" w:lineRule="auto"/>
            </w:pPr>
            <w:r>
              <w:rPr>
                <w:b w:val="0"/>
                <w:sz w:val="16"/>
              </w:rPr>
              <w:t>bilgisayar, blok tabanlı programlama ortamı, proje planı/test tablosu, gerekirse öğretmen kontrollü yapay zekâ bileşeni, kontrol listesi</w:t>
            </w:r>
            <w:r>
              <w:rPr>
                <w:rFonts w:ascii="Arial" w:hAnsi="Arial" w:eastAsia="Arial"/>
                <w:b w:val="0"/>
                <w:sz w:val="17"/>
              </w:rPr>
            </w:r>
          </w:p>
        </w:tc>
      </w:tr>
    </w:tbl>
    <w:p>
      <w:pPr>
        <w:pStyle w:val="SectionHead"/>
        <w:jc w:val="left"/>
      </w:pPr>
      <w:r>
        <w:rPr>
          <w:color w:val="1F4E78"/>
        </w:rPr>
        <w:t>II. BÖLÜM: PROGRAMLAR ARASI BİLEŞENLER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Sosyal-Duygusal Öğrenme Becerileri</w:t>
            </w:r>
          </w:p>
        </w:tc>
        <w:tc>
          <w:tcPr>
            <w:tcW w:type="dxa" w:w="8561"/>
            <w:vAlign w:val="center"/>
            <w:tcMar>
              <w:top w:w="55" w:type="dxa"/>
              <w:start w:w="70" w:type="dxa"/>
              <w:bottom w:w="55" w:type="dxa"/>
              <w:end w:w="70" w:type="dxa"/>
            </w:tcMar>
          </w:tcPr>
          <w:p>
            <w:pPr>
              <w:spacing w:after="0" w:before="0" w:line="240" w:lineRule="auto"/>
            </w:pPr>
            <w:r>
              <w:rPr>
                <w:b w:val="0"/>
                <w:sz w:val="16"/>
              </w:rPr>
              <w:t>SDB1.2. Öz Düzenleme, SDB2.2. İş Birliği, SDB3.3. Sorumlu Karar Verme (tema düzeyindeki bileşenlerden bu haftanın etkinliklerinde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Değerler</w:t>
            </w:r>
          </w:p>
        </w:tc>
        <w:tc>
          <w:tcPr>
            <w:tcW w:type="dxa" w:w="8561"/>
            <w:vAlign w:val="center"/>
            <w:tcMar>
              <w:top w:w="55" w:type="dxa"/>
              <w:start w:w="70" w:type="dxa"/>
              <w:bottom w:w="55" w:type="dxa"/>
              <w:end w:w="70" w:type="dxa"/>
            </w:tcMar>
          </w:tcPr>
          <w:p>
            <w:pPr>
              <w:spacing w:after="0" w:before="0" w:line="240" w:lineRule="auto"/>
            </w:pPr>
            <w:r>
              <w:rPr>
                <w:b w:val="0"/>
                <w:sz w:val="16"/>
              </w:rPr>
              <w:t>D3. Çalışkanlık, D6. Dürüstlük, D12. Sabır (tema düzeyindeki değerlerden bu haftada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Okuryazarlık Becerileri</w:t>
            </w:r>
          </w:p>
        </w:tc>
        <w:tc>
          <w:tcPr>
            <w:tcW w:type="dxa" w:w="8561"/>
            <w:vAlign w:val="center"/>
            <w:tcMar>
              <w:top w:w="55" w:type="dxa"/>
              <w:start w:w="70" w:type="dxa"/>
              <w:bottom w:w="55" w:type="dxa"/>
              <w:end w:w="70" w:type="dxa"/>
            </w:tcMar>
          </w:tcPr>
          <w:p>
            <w:pPr>
              <w:spacing w:after="0" w:before="0" w:line="240" w:lineRule="auto"/>
            </w:pPr>
            <w:r>
              <w:rPr>
                <w:b w:val="0"/>
                <w:sz w:val="16"/>
              </w:rPr>
              <w:t>OB1. Bilgi Okuryazarlığı, OB2. Dijital Okuryazarlık (tema düzeyindeki okuryazarlıklardan bu haftada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Beceriler Arası İlişkiler</w:t>
            </w:r>
          </w:p>
        </w:tc>
        <w:tc>
          <w:tcPr>
            <w:tcW w:type="dxa" w:w="8561"/>
            <w:vAlign w:val="center"/>
            <w:tcMar>
              <w:top w:w="55" w:type="dxa"/>
              <w:start w:w="70" w:type="dxa"/>
              <w:bottom w:w="55" w:type="dxa"/>
              <w:end w:w="70" w:type="dxa"/>
            </w:tcMar>
          </w:tcPr>
          <w:p>
            <w:pPr>
              <w:spacing w:after="0" w:before="0" w:line="240" w:lineRule="auto"/>
            </w:pPr>
            <w:r>
              <w:rPr>
                <w:b w:val="0"/>
                <w:sz w:val="16"/>
              </w:rPr>
              <w:t>— (TYMM tema düzeyinde ayrıca belirtilmemiştir.)</w:t>
            </w:r>
            <w:r>
              <w:rPr>
                <w:rFonts w:ascii="Arial" w:hAnsi="Arial" w:eastAsia="Arial"/>
                <w:b w:val="0"/>
                <w:sz w:val="17"/>
              </w:rPr>
            </w:r>
          </w:p>
        </w:tc>
      </w:tr>
    </w:tbl>
    <w:p>
      <w:pPr>
        <w:pStyle w:val="SectionHead"/>
        <w:jc w:val="left"/>
      </w:pPr>
      <w:r>
        <w:rPr>
          <w:color w:val="1F4E78"/>
        </w:rPr>
        <w:t>III. BÖLÜM: ÖĞRENME-ÖĞRETME YAŞANTILARI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Basamak / Özellik</w:t>
            </w:r>
          </w:p>
        </w:tc>
        <w:tc>
          <w:tcPr>
            <w:tcW w:type="dxa" w:w="8561"/>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Uygulama</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Temel Kabuller</w:t>
            </w:r>
          </w:p>
        </w:tc>
        <w:tc>
          <w:tcPr>
            <w:tcW w:type="dxa" w:w="8561"/>
            <w:vAlign w:val="center"/>
            <w:tcMar>
              <w:top w:w="55" w:type="dxa"/>
              <w:start w:w="70" w:type="dxa"/>
              <w:bottom w:w="55" w:type="dxa"/>
              <w:end w:w="70" w:type="dxa"/>
            </w:tcMar>
          </w:tcPr>
          <w:p>
            <w:pPr>
              <w:spacing w:after="0" w:before="0" w:line="240" w:lineRule="auto"/>
            </w:pPr>
            <w:r>
              <w:rPr>
                <w:b w:val="0"/>
                <w:sz w:val="16"/>
              </w:rPr>
              <w:t>Öğrencilerin temel bilgisayar ve yapay zekâ farkındalığına; algoritma, problem çözme ve hata ayıklama hakkında önceki öğrenmelere sahip oldukları kabul edilir.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Ön Değerlendirme Süreci</w:t>
            </w:r>
          </w:p>
        </w:tc>
        <w:tc>
          <w:tcPr>
            <w:tcW w:type="dxa" w:w="8561"/>
            <w:vAlign w:val="center"/>
            <w:tcMar>
              <w:top w:w="55" w:type="dxa"/>
              <w:start w:w="70" w:type="dxa"/>
              <w:bottom w:w="55" w:type="dxa"/>
              <w:end w:w="70" w:type="dxa"/>
            </w:tcMar>
          </w:tcPr>
          <w:p>
            <w:pPr>
              <w:spacing w:after="0" w:before="0" w:line="240" w:lineRule="auto"/>
            </w:pPr>
            <w:r>
              <w:rPr>
                <w:b w:val="0"/>
                <w:sz w:val="16"/>
              </w:rPr>
              <w:t>Problem çözme ve algoritmik düşünmeyi ortaya çıkaracak kısa görevler verilir. Basit bir karakter hareketi veya günlük bir işlemin adımlarını sıralama üzerinden öğrencilerin blok tabanlı ortam deneyimi, sıralama ve hata ayıklama becerileri gözlenir.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Köprü Kurma</w:t>
            </w:r>
          </w:p>
        </w:tc>
        <w:tc>
          <w:tcPr>
            <w:tcW w:type="dxa" w:w="8561"/>
            <w:vAlign w:val="center"/>
            <w:tcMar>
              <w:top w:w="55" w:type="dxa"/>
              <w:start w:w="70" w:type="dxa"/>
              <w:bottom w:w="55" w:type="dxa"/>
              <w:end w:w="70" w:type="dxa"/>
            </w:tcMar>
          </w:tcPr>
          <w:p>
            <w:pPr>
              <w:spacing w:after="0" w:before="0" w:line="240" w:lineRule="auto"/>
            </w:pPr>
            <w:r>
              <w:rPr>
                <w:b w:val="0"/>
                <w:sz w:val="16"/>
              </w:rPr>
              <w:t>Günlük yaşam problemleri; navigasyonun rota seçmesi, sesli asistanın hatırlatma üretmesi ve makinelerin belirli adımlarla çalışması üzerinden programlama, algoritma ve yapay zekâ destekli problem çözmeyle ilişkilendirilir.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Öğrenme-Öğretme Uygulamaları</w:t>
            </w:r>
          </w:p>
        </w:tc>
        <w:tc>
          <w:tcPr>
            <w:tcW w:type="dxa" w:w="8561"/>
            <w:vAlign w:val="center"/>
            <w:tcMar>
              <w:top w:w="55" w:type="dxa"/>
              <w:start w:w="70" w:type="dxa"/>
              <w:bottom w:w="55" w:type="dxa"/>
              <w:end w:w="70" w:type="dxa"/>
            </w:tcMar>
          </w:tcPr>
          <w:p>
            <w:r>
              <w:rPr>
                <w:b/>
                <w:color w:val="1F4E79"/>
                <w:sz w:val="16"/>
              </w:rPr>
              <w:t>1. DERS SAATİ (40 dk)</w:t>
            </w:r>
          </w:p>
          <w:p>
            <w:r>
              <w:rPr>
                <w:b w:val="0"/>
                <w:sz w:val="16"/>
              </w:rPr>
              <w:t>0–10 dk | Kısa haftaya uyarlanmış durum kontrolü: Kurban Bayramı ve 19 Mayıs tatilleri nedeniyle dersin fiilen yapılabildiği gün/süre dikkate alınarak yalnızca kritik proje hedefleri seçilir.</w:t>
            </w:r>
          </w:p>
          <w:p>
            <w:r>
              <w:rPr>
                <w:b w:val="0"/>
                <w:sz w:val="16"/>
              </w:rPr>
              <w:t>10–25 dk | Kritik hata düzeltme: Ürünün çalışmasını engelleyen en önemli blok/model entegrasyon hataları giderilir.</w:t>
            </w:r>
          </w:p>
          <w:p>
            <w:r>
              <w:rPr>
                <w:b w:val="0"/>
                <w:sz w:val="16"/>
              </w:rPr>
              <w:t>25–35 dk | Temel test: En az iki temsilî girdiyle yapay zekâ özelliğinin çıktısı ve program tepkisi doğrulanır.</w:t>
            </w:r>
          </w:p>
          <w:p>
            <w:r>
              <w:rPr>
                <w:b w:val="0"/>
                <w:sz w:val="16"/>
              </w:rPr>
              <w:t>35–40 dk | Kayıt: Tamamlanamayan işler sonraki haftaya açık görev olarak yazılır.</w:t>
            </w:r>
          </w:p>
          <w:p>
            <w:r>
              <w:rPr>
                <w:b/>
                <w:color w:val="1F4E79"/>
                <w:sz w:val="16"/>
              </w:rPr>
              <w:t>2. DERS SAATİ (40 dk) – ders saati okul takvimine göre uygulanabiliyorsa</w:t>
            </w:r>
          </w:p>
          <w:p>
            <w:r>
              <w:rPr>
                <w:b w:val="0"/>
                <w:sz w:val="16"/>
              </w:rPr>
              <w:t>0–12 dk | Kullanılabilirlik: Kullanıcının hangi girdi vereceği ve sonucu nasıl anlayacağı açıklık açısından gözden geçirilir.</w:t>
            </w:r>
          </w:p>
          <w:p>
            <w:r>
              <w:rPr>
                <w:b w:val="0"/>
                <w:sz w:val="16"/>
              </w:rPr>
              <w:t>12–28 dk | Hafif revizyon: Yönerge, geri bildirim ve görsel düzen gibi süre içinde tamamlanabilecek iyileştirmeler uygulanır.</w:t>
            </w:r>
          </w:p>
          <w:p>
            <w:r>
              <w:rPr>
                <w:b w:val="0"/>
                <w:sz w:val="16"/>
              </w:rPr>
              <w:t>28–35 dk | Hızlı akran testi: Ürün tek kullanım senaryosuyla başka grup tarafından denenir.</w:t>
            </w:r>
          </w:p>
          <w:p>
            <w:r>
              <w:rPr>
                <w:b w:val="0"/>
                <w:sz w:val="16"/>
              </w:rPr>
              <w:t>35–40 dk | Sonraki hafta planı: Testten çıkan iki öncelikli görev belirlenir.</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Destekleme</w:t>
            </w:r>
          </w:p>
        </w:tc>
        <w:tc>
          <w:tcPr>
            <w:tcW w:type="dxa" w:w="8561"/>
            <w:vAlign w:val="center"/>
            <w:tcMar>
              <w:top w:w="55" w:type="dxa"/>
              <w:start w:w="70" w:type="dxa"/>
              <w:bottom w:w="55" w:type="dxa"/>
              <w:end w:w="70" w:type="dxa"/>
            </w:tcMar>
          </w:tcPr>
          <w:p>
            <w:pPr>
              <w:spacing w:after="0" w:before="0" w:line="240" w:lineRule="auto"/>
            </w:pPr>
            <w:r>
              <w:rPr>
                <w:b w:val="0"/>
                <w:sz w:val="16"/>
              </w:rPr>
              <w:t>Kod bloklarını renk/işlev gruplarıyla gösteren görsel yönerge, adım adım görev kartı ve çalışan örnek başlangıç dosyası sunulur. Öğrencinin tüm projeyi bir anda tamamlaması yerine tek işlevi çalıştırıp test etmesi sağlanır; akran desteği kullanılabilir.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Zenginleştirme</w:t>
            </w:r>
          </w:p>
        </w:tc>
        <w:tc>
          <w:tcPr>
            <w:tcW w:type="dxa" w:w="8561"/>
            <w:vAlign w:val="center"/>
            <w:tcMar>
              <w:top w:w="55" w:type="dxa"/>
              <w:start w:w="70" w:type="dxa"/>
              <w:bottom w:w="55" w:type="dxa"/>
              <w:end w:w="70" w:type="dxa"/>
            </w:tcMar>
          </w:tcPr>
          <w:p>
            <w:pPr>
              <w:spacing w:after="0" w:before="0" w:line="240" w:lineRule="auto"/>
            </w:pPr>
            <w:r>
              <w:rPr>
                <w:b w:val="0"/>
                <w:sz w:val="16"/>
              </w:rPr>
              <w:t>İleri düzey öğrencilerden aynı işlev için alternatif algoritma geliştirmeleri, kod tekrarını azaltmaları, ek test senaryosu oluşturmaları veya ürüne güvenli ve açıklanabilir ek özellik tasarlamaları istenir.</w:t>
            </w:r>
            <w:r>
              <w:rPr>
                <w:rFonts w:ascii="Arial" w:hAnsi="Arial" w:eastAsia="Arial"/>
                <w:b w:val="0"/>
                <w:sz w:val="17"/>
              </w:rPr>
            </w:r>
          </w:p>
        </w:tc>
      </w:tr>
    </w:tbl>
    <w:p>
      <w:pPr>
        <w:pStyle w:val="SectionHead"/>
        <w:jc w:val="left"/>
      </w:pPr>
      <w:r>
        <w:rPr>
          <w:color w:val="1F4E78"/>
        </w:rPr>
        <w:t>IV. BÖLÜM: ÖLÇME VE DEĞERLENDİRME / ÖĞRENME KANITLARI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Pr>
                <w:b w:val="0"/>
                <w:sz w:val="16"/>
              </w:rPr>
              <w:t>Süreç boyunca planlama, blokları amaca uygun kullanma, test etme, hata ayıklama, iş birliği ve gerekçeli revizyon davranışları gözlem formu/kontrol listesiyle izlenir. Haftalık ürün veya proje sürümü çalışırlık, kod düzeni, problemle uyum ve kullanıcı deneyimi ölçütleriyle değerlendirilir. Öğrenci kısa öz değerlendirmede yaptığı değişikliği ve sonucunu açıklar. TYMM tema düzeyinde önerilen araçlar: kontrol listesi, gözlem formu, akran değerlendirme formu, rubrik ölçeği ve öz değerlendirme formu.</w:t>
            </w:r>
            <w:r>
              <w:rPr>
                <w:rFonts w:ascii="Arial" w:hAnsi="Arial" w:eastAsia="Arial"/>
                <w:b w:val="0"/>
                <w:sz w:val="17"/>
              </w:rPr>
            </w:r>
          </w:p>
        </w:tc>
      </w:tr>
    </w:tbl>
    <w:p>
      <w:pPr>
        <w:pStyle w:val="SectionHead"/>
        <w:jc w:val="left"/>
      </w:pPr>
      <w:r>
        <w:rPr>
          <w:color w:val="1F4E78"/>
        </w:rPr>
        <w:t>V. BÖLÜM: DERSİN DİĞER DERSLERLE İLİŞKİSİ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Pr>
                <w:b w:val="0"/>
                <w:sz w:val="16"/>
              </w:rPr>
              <w:t>Görsel Sanatlar, Matematik, Müzik, Sosyal Bilgiler, Türkçe</w:t>
            </w:r>
            <w:r>
              <w:rPr>
                <w:rFonts w:ascii="Arial" w:hAnsi="Arial" w:eastAsia="Arial"/>
                <w:b w:val="0"/>
                <w:sz w:val="17"/>
              </w:rPr>
            </w:r>
          </w:p>
        </w:tc>
      </w:tr>
    </w:tbl>
    <w:p>
      <w:pPr>
        <w:pStyle w:val="SectionHead"/>
        <w:jc w:val="left"/>
      </w:pPr>
      <w:r>
        <w:rPr>
          <w:color w:val="1F4E78"/>
        </w:rPr>
        <w:t>VI. BÖLÜM: PLANIN UYGULANMASIYLA İLGİLİ DİĞER AÇIKLAMALAR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Uygulama Notları</w:t>
            </w:r>
          </w:p>
        </w:tc>
        <w:tc>
          <w:tcPr>
            <w:tcW w:type="dxa" w:w="8561"/>
            <w:vAlign w:val="center"/>
            <w:tcMar>
              <w:top w:w="55" w:type="dxa"/>
              <w:start w:w="70" w:type="dxa"/>
              <w:bottom w:w="55" w:type="dxa"/>
              <w:end w:w="70" w:type="dxa"/>
            </w:tcMar>
          </w:tcPr>
          <w:p>
            <w:pPr>
              <w:spacing w:after="0" w:before="0" w:line="240" w:lineRule="auto"/>
            </w:pPr>
            <w:r>
              <w:rPr>
                <w:b w:val="0"/>
                <w:sz w:val="16"/>
              </w:rPr>
              <w:t>Plan, TYMM 6. sınıf Bilişim Teknolojileri ve Yazılım Dersi öğretim programındaki öğrenme çıktısı ve uygulama yaklaşımı temel alınarak haftalık ders süresine uyarlanmıştır. Yapay zekâ araçlarında yaş koşulları, okul politikası ve kişisel veri güvenliği gözetilmeli; gerçek kişisel veri, biyometrik veri veya öğrenciye ait hassas içerik kullanılmamalıdır. Kurban Bayramı 16–19 Mayıs 2027 tarihlerine, 19 Mayıs Atatürk’ü Anma, Gençlik ve Spor Bayramı da aynı haftaya denk gelir. Bu nedenle plan yalnızca okulda fiilen yapılabilen ders saati ölçüsünde uygulanır; eksik kalan proje adımları 33. haftaya aktarılır.</w:t>
            </w:r>
            <w:r>
              <w:rPr>
                <w:rFonts w:ascii="Arial" w:hAnsi="Arial" w:eastAsia="Arial"/>
                <w:b w:val="0"/>
                <w:sz w:val="17"/>
              </w:rPr>
            </w:r>
          </w:p>
        </w:tc>
      </w:tr>
    </w:tbl>
    <w:p>
      <w:pPr>
        <w:spacing w:before="100" w:after="0"/>
        <w:jc w:val="center"/>
      </w:pPr>
      <w:r>
        <w:rPr>
          <w:rFonts w:ascii="Arial" w:hAnsi="Arial"/>
          <w:b/>
          <w:sz w:val="18"/>
        </w:rPr>
        <w:t>Uygundur</w:t>
      </w:r>
    </w:p>
    <w:tbl>
      <w:tblPr>
        <w:tblW w:type="auto" w:w="0"/>
        <w:jc w:val="center"/>
        <w:tblLayout w:type="fixed"/>
        <w:tblLook w:firstColumn="1" w:firstRow="1" w:lastColumn="0" w:lastRow="0" w:noHBand="0" w:noVBand="1" w:val="04A0"/>
      </w:tblPr>
      <w:tblGrid>
        <w:gridCol w:w="5273"/>
        <w:gridCol w:w="5273"/>
      </w:tblGrid>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Bilgisayar ve Öğretim Teknolojileri Öğretmeni</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Okul Müdürü</w:t>
            </w:r>
          </w:p>
        </w:tc>
      </w:tr>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r>
    </w:tbl>
    <w:sectPr w:rsidR="00FC693F" w:rsidRPr="0006063C" w:rsidSect="00034616">
      <w:pgSz w:w="11906" w:h="16838"/>
      <w:pgMar w:top="652" w:right="680" w:bottom="652"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Title">
    <w:name w:val="PlanTitle"/>
    <w:pPr>
      <w:spacing w:before="0" w:after="40"/>
    </w:pPr>
    <w:rPr>
      <w:rFonts w:ascii="Arial" w:hAnsi="Arial" w:eastAsia="Arial"/>
      <w:b/>
      <w:sz w:val="24"/>
    </w:rPr>
  </w:style>
  <w:style w:type="paragraph" w:customStyle="1" w:styleId="SectionHead">
    <w:name w:val="SectionHead"/>
    <w:pPr>
      <w:spacing w:before="60" w:after="40"/>
    </w:pPr>
    <w:rPr>
      <w:rFonts w:ascii="Arial" w:hAnsi="Arial" w:eastAsia="Arial"/>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Sınıf BTY Günlük Ders Planı - 1. Hafta</dc:title>
  <dc:subject>2026-2027 / BTY.5.1.1</dc:subject>
  <dc:creator/>
  <cp:keywords/>
  <dc:description>TYMM 5. sınıf BTY öğretim programı ve 2026-2027 haftalık takvim verileri esas alınarak hazırlanmıştır.</dc:description>
  <cp:lastModifiedBy/>
  <cp:revision>1</cp:revision>
  <dcterms:created xsi:type="dcterms:W3CDTF">2013-12-23T23:15:00Z</dcterms:created>
  <dcterms:modified xsi:type="dcterms:W3CDTF">2013-12-23T23:15:00Z</dcterms:modified>
  <cp:category/>
</cp:coreProperties>
</file>