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sz w:val="20"/>
        </w:rPr>
        <w:t>2026-2027 EĞİTİM – ÖĞRETİM YILI ………………………………… ORTAOKULU</w:t>
      </w:r>
    </w:p>
    <w:p>
      <w:pPr>
        <w:spacing w:after="60"/>
        <w:jc w:val="center"/>
      </w:pPr>
      <w:r>
        <w:rPr>
          <w:rFonts w:ascii="Arial" w:hAnsi="Arial" w:eastAsia="Arial"/>
          <w:b/>
          <w:sz w:val="22"/>
        </w:rPr>
        <w:t>6. SINIF BİLİŞİM TEKNOLOJİLERİ VE YAZILIM DERSİ GÜNLÜK DERS PLANI</w:t>
      </w:r>
    </w:p>
    <w:p>
      <w:pPr>
        <w:pStyle w:val="SectionHead"/>
        <w:jc w:val="left"/>
      </w:pPr>
      <w:r>
        <w:rPr>
          <w:color w:val="1F4E78"/>
        </w:rPr>
        <w:t>I. BÖLÜM: DERS BİLGİSİ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2636"/>
        <w:gridCol w:w="2636"/>
        <w:gridCol w:w="2636"/>
        <w:gridCol w:w="2636"/>
      </w:tblGrid>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Dersin Adı</w:t>
            </w:r>
          </w:p>
        </w:tc>
        <w:tc>
          <w:tcPr>
            <w:tcW w:type="dxa" w:w="3969"/>
            <w:vAlign w:val="center"/>
            <w:tcMar>
              <w:top w:w="55" w:type="dxa"/>
              <w:start w:w="70" w:type="dxa"/>
              <w:bottom w:w="55" w:type="dxa"/>
              <w:end w:w="70" w:type="dxa"/>
            </w:tcMar>
          </w:tcPr>
          <w:p>
            <w:pPr>
              <w:spacing w:after="0" w:before="0" w:line="240" w:lineRule="auto"/>
            </w:pPr>
            <w:r>
              <w:rPr>
                <w:b w:val="0"/>
                <w:sz w:val="16"/>
              </w:rPr>
              <w:t>Bilişim Teknolojileri ve Yazılım</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Tarih / Hafta</w:t>
            </w:r>
          </w:p>
        </w:tc>
        <w:tc>
          <w:tcPr>
            <w:tcW w:type="dxa" w:w="3855"/>
            <w:vAlign w:val="center"/>
            <w:tcMar>
              <w:top w:w="55" w:type="dxa"/>
              <w:start w:w="70" w:type="dxa"/>
              <w:bottom w:w="55" w:type="dxa"/>
              <w:end w:w="70" w:type="dxa"/>
            </w:tcMar>
          </w:tcPr>
          <w:p>
            <w:pPr>
              <w:spacing w:after="0" w:before="0" w:line="240" w:lineRule="auto"/>
            </w:pPr>
            <w:r>
              <w:rPr>
                <w:b w:val="0"/>
                <w:sz w:val="16"/>
              </w:rPr>
              <w:t>14 Haziran - 18 Haziran 2027 / 36. Hafta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Sınıf</w:t>
            </w:r>
          </w:p>
        </w:tc>
        <w:tc>
          <w:tcPr>
            <w:tcW w:type="dxa" w:w="3969"/>
            <w:vAlign w:val="center"/>
            <w:tcMar>
              <w:top w:w="55" w:type="dxa"/>
              <w:start w:w="70" w:type="dxa"/>
              <w:bottom w:w="55" w:type="dxa"/>
              <w:end w:w="70" w:type="dxa"/>
            </w:tcMar>
          </w:tcPr>
          <w:p>
            <w:pPr>
              <w:spacing w:after="0" w:before="0" w:line="240" w:lineRule="auto"/>
            </w:pPr>
            <w:r>
              <w:rPr>
                <w:b w:val="0"/>
                <w:sz w:val="16"/>
              </w:rPr>
              <w:t>6. Sınıf</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Süre</w:t>
            </w:r>
          </w:p>
        </w:tc>
        <w:tc>
          <w:tcPr>
            <w:tcW w:type="dxa" w:w="3855"/>
            <w:vAlign w:val="center"/>
            <w:tcMar>
              <w:top w:w="55" w:type="dxa"/>
              <w:start w:w="70" w:type="dxa"/>
              <w:bottom w:w="55" w:type="dxa"/>
              <w:end w:w="70" w:type="dxa"/>
            </w:tcMar>
          </w:tcPr>
          <w:p>
            <w:pPr>
              <w:spacing w:after="0" w:before="0" w:line="240" w:lineRule="auto"/>
            </w:pPr>
            <w:r>
              <w:rPr>
                <w:b w:val="0"/>
                <w:sz w:val="16"/>
              </w:rPr>
              <w:t>2 ders saati (80 dakika)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Tema / Ünite</w:t>
            </w:r>
          </w:p>
        </w:tc>
        <w:tc>
          <w:tcPr>
            <w:tcW w:type="dxa" w:w="9185"/>
            <w:vAlign w:val="center"/>
            <w:gridSpan w:val="3"/>
            <w:tcMar>
              <w:top w:w="55" w:type="dxa"/>
              <w:start w:w="70" w:type="dxa"/>
              <w:bottom w:w="55" w:type="dxa"/>
              <w:end w:w="70" w:type="dxa"/>
            </w:tcMar>
          </w:tcPr>
          <w:p>
            <w:pPr>
              <w:spacing w:after="0" w:before="0" w:line="240" w:lineRule="auto"/>
            </w:pPr>
            <w:r>
              <w:rPr>
                <w:b w:val="0"/>
                <w:sz w:val="16"/>
              </w:rPr>
              <w:t>Yazılım Tasarımı ve Programlama</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İçerik Çerçevesi (Konu)</w:t>
            </w:r>
          </w:p>
        </w:tc>
        <w:tc>
          <w:tcPr>
            <w:tcW w:type="dxa" w:w="9185"/>
            <w:vAlign w:val="center"/>
            <w:gridSpan w:val="3"/>
            <w:tcMar>
              <w:top w:w="55" w:type="dxa"/>
              <w:start w:w="70" w:type="dxa"/>
              <w:bottom w:w="55" w:type="dxa"/>
              <w:end w:w="70" w:type="dxa"/>
            </w:tcMar>
          </w:tcPr>
          <w:p>
            <w:pPr>
              <w:spacing w:after="0" w:before="0" w:line="240" w:lineRule="auto"/>
            </w:pPr>
            <w:r>
              <w:rPr>
                <w:b w:val="0"/>
                <w:sz w:val="16"/>
              </w:rPr>
              <w:t>Yapay Zekâ Destekli Ürün Geliştirme ve Sunum</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Alan Becerileri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BTYAB3. Yazılım Geliştirme</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Kavramsal Beceriler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Eğilimler</w:t>
            </w:r>
          </w:p>
        </w:tc>
        <w:tc>
          <w:tcPr>
            <w:tcW w:type="dxa" w:w="9185"/>
            <w:vAlign w:val="center"/>
            <w:gridSpan w:val="3"/>
            <w:tcMar>
              <w:top w:w="55" w:type="dxa"/>
              <w:start w:w="70" w:type="dxa"/>
              <w:bottom w:w="55" w:type="dxa"/>
              <w:end w:w="70" w:type="dxa"/>
            </w:tcMar>
          </w:tcPr>
          <w:p>
            <w:pPr>
              <w:spacing w:after="0" w:before="0" w:line="240" w:lineRule="auto"/>
            </w:pPr>
            <w:r>
              <w:rPr>
                <w:b w:val="0"/>
                <w:sz w:val="16"/>
              </w:rPr>
              <w:t>E1.1. Merak, E2.1. Empati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Anahtar Kavramlar</w:t>
            </w:r>
          </w:p>
        </w:tc>
        <w:tc>
          <w:tcPr>
            <w:tcW w:type="dxa" w:w="9185"/>
            <w:vAlign w:val="center"/>
            <w:gridSpan w:val="3"/>
            <w:tcMar>
              <w:top w:w="55" w:type="dxa"/>
              <w:start w:w="70" w:type="dxa"/>
              <w:bottom w:w="55" w:type="dxa"/>
              <w:end w:w="70" w:type="dxa"/>
            </w:tcMar>
          </w:tcPr>
          <w:p>
            <w:pPr>
              <w:spacing w:after="0" w:before="0" w:line="240" w:lineRule="auto"/>
            </w:pPr>
            <w:r>
              <w:rPr>
                <w:b w:val="0"/>
                <w:sz w:val="16"/>
              </w:rPr>
              <w:t>blok tabanlı programlama, döngüler, fonksiyon, hata ayıklama, karakter hareketleri, koşul blokları, planlama, proje, sürükle-bırak, yapay zekâ, yapay zekâ bileşenleri</w:t>
            </w:r>
            <w:r>
              <w:rPr>
                <w:rFonts w:ascii="Arial" w:hAnsi="Arial" w:eastAsia="Arial"/>
                <w:b w:val="0"/>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 Çıktısı ve</w:t>
              <w:br/>
              <w:t>Süreç Bileşenleri</w:t>
            </w:r>
          </w:p>
        </w:tc>
        <w:tc>
          <w:tcPr>
            <w:tcW w:type="dxa" w:w="9185"/>
            <w:vAlign w:val="center"/>
            <w:gridSpan w:val="3"/>
            <w:tcMar>
              <w:top w:w="55" w:type="dxa"/>
              <w:start w:w="70" w:type="dxa"/>
              <w:bottom w:w="55" w:type="dxa"/>
              <w:end w:w="70" w:type="dxa"/>
            </w:tcMar>
          </w:tcPr>
          <w:p>
            <w:pPr>
              <w:spacing w:after="0" w:before="0" w:line="240" w:lineRule="auto"/>
            </w:pPr>
            <w:r>
              <w:rPr>
                <w:b w:val="0"/>
                <w:sz w:val="16"/>
              </w:rPr>
              <w:t>BTY.6.6.3. Blok tabanlı ortamda yapay zekâ destekli ürün ortaya koyabilme</w:t>
              <w:br/>
              <w:t>a) Blok tabanlı ortamda yapay zekâ destekli ürün için gereksinimleri belirler.</w:t>
              <w:br/>
              <w:t>b) Blok tabanlı ortamda yapay zekâ destekli ürün için kullanılacak araç gereçleri seçer.</w:t>
              <w:br/>
              <w:t>c) Blok tabanlı ortamda yapay zekâ destekli ürün oluşturur.</w:t>
              <w:br/>
              <w:t>ç) Blok tabanlı ortamda yapay zekâ destekli ürünü belirlenen ölçütleri karşılayacak şekilde çalışır hâle getirir.</w:t>
            </w:r>
            <w:r>
              <w:rPr>
                <w:rFonts w:ascii="Arial" w:hAnsi="Arial" w:eastAsia="Arial"/>
                <w:sz w:val="17"/>
              </w:rPr>
            </w:r>
          </w:p>
        </w:tc>
      </w:tr>
      <w:tr>
        <w:trPr>
          <w:cantSplit/>
        </w:trPr>
        <w:tc>
          <w:tcPr>
            <w:tcW w:type="dxa" w:w="1814"/>
            <w:vAlign w:val="center"/>
            <w:tcMar>
              <w:top w:w="55" w:type="dxa"/>
              <w:start w:w="70" w:type="dxa"/>
              <w:bottom w:w="55" w:type="dxa"/>
              <w:end w:w="70" w:type="dxa"/>
            </w:tcMar>
            <w:shd w:fill="D9EAF7"/>
          </w:tcPr>
          <w:p>
            <w:pPr>
              <w:spacing w:after="0" w:before="0" w:line="240" w:lineRule="auto"/>
            </w:pPr>
            <w:r/>
            <w:r>
              <w:rPr>
                <w:rFonts w:ascii="Arial" w:hAnsi="Arial" w:eastAsia="Arial"/>
                <w:b/>
                <w:sz w:val="17"/>
              </w:rPr>
              <w:t>Yöntem / Teknik</w:t>
            </w:r>
          </w:p>
        </w:tc>
        <w:tc>
          <w:tcPr>
            <w:tcW w:type="dxa" w:w="3969"/>
            <w:vAlign w:val="center"/>
            <w:tcMar>
              <w:top w:w="55" w:type="dxa"/>
              <w:start w:w="70" w:type="dxa"/>
              <w:bottom w:w="55" w:type="dxa"/>
              <w:end w:w="70" w:type="dxa"/>
            </w:tcMar>
          </w:tcPr>
          <w:p>
            <w:pPr>
              <w:spacing w:after="0" w:before="0" w:line="240" w:lineRule="auto"/>
            </w:pPr>
            <w:r>
              <w:rPr>
                <w:b w:val="0"/>
                <w:sz w:val="16"/>
              </w:rPr>
              <w:t>proje tabanlı öğrenme, gösterip yaptırma, problem çözme, iş birlikli öğrenme, hata ayıklama, akran değerlendirme</w:t>
            </w:r>
            <w:r>
              <w:rPr>
                <w:rFonts w:ascii="Arial" w:hAnsi="Arial" w:eastAsia="Arial"/>
                <w:b w:val="0"/>
                <w:sz w:val="17"/>
              </w:rPr>
            </w:r>
          </w:p>
        </w:tc>
        <w:tc>
          <w:tcPr>
            <w:tcW w:type="dxa" w:w="1361"/>
            <w:vAlign w:val="center"/>
            <w:tcMar>
              <w:top w:w="55" w:type="dxa"/>
              <w:start w:w="70" w:type="dxa"/>
              <w:bottom w:w="55" w:type="dxa"/>
              <w:end w:w="70" w:type="dxa"/>
            </w:tcMar>
            <w:shd w:fill="D9EAF7"/>
          </w:tcPr>
          <w:p>
            <w:pPr>
              <w:spacing w:after="0" w:before="0" w:line="240" w:lineRule="auto"/>
            </w:pPr>
            <w:r/>
            <w:r>
              <w:rPr>
                <w:rFonts w:ascii="Arial" w:hAnsi="Arial" w:eastAsia="Arial"/>
                <w:b/>
                <w:sz w:val="17"/>
              </w:rPr>
              <w:t>Araç-Gereç / Materyal</w:t>
            </w:r>
          </w:p>
        </w:tc>
        <w:tc>
          <w:tcPr>
            <w:tcW w:type="dxa" w:w="3855"/>
            <w:vAlign w:val="center"/>
            <w:tcMar>
              <w:top w:w="55" w:type="dxa"/>
              <w:start w:w="70" w:type="dxa"/>
              <w:bottom w:w="55" w:type="dxa"/>
              <w:end w:w="70" w:type="dxa"/>
            </w:tcMar>
          </w:tcPr>
          <w:p>
            <w:pPr>
              <w:spacing w:after="0" w:before="0" w:line="240" w:lineRule="auto"/>
            </w:pPr>
            <w:r>
              <w:rPr>
                <w:b w:val="0"/>
                <w:sz w:val="16"/>
              </w:rPr>
              <w:t>bilgisayar, blok tabanlı programlama ortamı, proje planı/test tablosu, gerekirse öğretmen kontrollü yapay zekâ bileşeni, kontrol listesi</w:t>
            </w:r>
            <w:r>
              <w:rPr>
                <w:rFonts w:ascii="Arial" w:hAnsi="Arial" w:eastAsia="Arial"/>
                <w:b w:val="0"/>
                <w:sz w:val="17"/>
              </w:rPr>
            </w:r>
          </w:p>
        </w:tc>
      </w:tr>
    </w:tbl>
    <w:p>
      <w:pPr>
        <w:pStyle w:val="SectionHead"/>
        <w:jc w:val="left"/>
      </w:pPr>
      <w:r>
        <w:rPr>
          <w:color w:val="1F4E78"/>
        </w:rPr>
        <w:t>II. BÖLÜM: PROGRAMLAR ARASI BİLEŞENLER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Sosyal-Duygusal Öğrenme Becerileri</w:t>
            </w:r>
          </w:p>
        </w:tc>
        <w:tc>
          <w:tcPr>
            <w:tcW w:type="dxa" w:w="8561"/>
            <w:vAlign w:val="center"/>
            <w:tcMar>
              <w:top w:w="55" w:type="dxa"/>
              <w:start w:w="70" w:type="dxa"/>
              <w:bottom w:w="55" w:type="dxa"/>
              <w:end w:w="70" w:type="dxa"/>
            </w:tcMar>
          </w:tcPr>
          <w:p>
            <w:pPr>
              <w:spacing w:after="0" w:before="0" w:line="240" w:lineRule="auto"/>
            </w:pPr>
            <w:r>
              <w:rPr>
                <w:b w:val="0"/>
                <w:sz w:val="16"/>
              </w:rPr>
              <w:t>SDB1.2. Öz Düzenleme, SDB2.2. İş Birliği, SDB3.3. Sorumlu Karar Verme (tema düzeyindeki bileşenlerden bu haftanın etkinliklerinde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Değerler</w:t>
            </w:r>
          </w:p>
        </w:tc>
        <w:tc>
          <w:tcPr>
            <w:tcW w:type="dxa" w:w="8561"/>
            <w:vAlign w:val="center"/>
            <w:tcMar>
              <w:top w:w="55" w:type="dxa"/>
              <w:start w:w="70" w:type="dxa"/>
              <w:bottom w:w="55" w:type="dxa"/>
              <w:end w:w="70" w:type="dxa"/>
            </w:tcMar>
          </w:tcPr>
          <w:p>
            <w:pPr>
              <w:spacing w:after="0" w:before="0" w:line="240" w:lineRule="auto"/>
            </w:pPr>
            <w:r>
              <w:rPr>
                <w:b w:val="0"/>
                <w:sz w:val="16"/>
              </w:rPr>
              <w:t>D3. Çalışkanlık, D6. Dürüstlük, D12. Sabır (tema düzeyindeki değerlerden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Okuryazarlık Becerileri</w:t>
            </w:r>
          </w:p>
        </w:tc>
        <w:tc>
          <w:tcPr>
            <w:tcW w:type="dxa" w:w="8561"/>
            <w:vAlign w:val="center"/>
            <w:tcMar>
              <w:top w:w="55" w:type="dxa"/>
              <w:start w:w="70" w:type="dxa"/>
              <w:bottom w:w="55" w:type="dxa"/>
              <w:end w:w="70" w:type="dxa"/>
            </w:tcMar>
          </w:tcPr>
          <w:p>
            <w:pPr>
              <w:spacing w:after="0" w:before="0" w:line="240" w:lineRule="auto"/>
            </w:pPr>
            <w:r>
              <w:rPr>
                <w:b w:val="0"/>
                <w:sz w:val="16"/>
              </w:rPr>
              <w:t>OB1. Bilgi Okuryazarlığı, OB2. Dijital Okuryazarlık (tema düzeyindeki okuryazarlıklardan bu haftada öne çıkanlar)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Beceriler Arası İlişkiler</w:t>
            </w:r>
          </w:p>
        </w:tc>
        <w:tc>
          <w:tcPr>
            <w:tcW w:type="dxa" w:w="8561"/>
            <w:vAlign w:val="center"/>
            <w:tcMar>
              <w:top w:w="55" w:type="dxa"/>
              <w:start w:w="70" w:type="dxa"/>
              <w:bottom w:w="55" w:type="dxa"/>
              <w:end w:w="70" w:type="dxa"/>
            </w:tcMar>
          </w:tcPr>
          <w:p>
            <w:pPr>
              <w:spacing w:after="0" w:before="0" w:line="240" w:lineRule="auto"/>
            </w:pPr>
            <w:r>
              <w:rPr>
                <w:b w:val="0"/>
                <w:sz w:val="16"/>
              </w:rPr>
              <w:t>— (TYMM tema düzeyinde ayrıca belirtilmemiştir.)</w:t>
            </w:r>
            <w:r>
              <w:rPr>
                <w:rFonts w:ascii="Arial" w:hAnsi="Arial" w:eastAsia="Arial"/>
                <w:b w:val="0"/>
                <w:sz w:val="17"/>
              </w:rPr>
            </w:r>
          </w:p>
        </w:tc>
      </w:tr>
    </w:tbl>
    <w:p>
      <w:pPr>
        <w:pStyle w:val="SectionHead"/>
        <w:jc w:val="left"/>
      </w:pPr>
      <w:r>
        <w:rPr>
          <w:color w:val="1F4E78"/>
        </w:rPr>
        <w:t>III. BÖLÜM: ÖĞRENME-ÖĞRETME YAŞANTILARI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Basamak / Özellik</w:t>
            </w:r>
          </w:p>
        </w:tc>
        <w:tc>
          <w:tcPr>
            <w:tcW w:type="dxa" w:w="8561"/>
            <w:vAlign w:val="center"/>
            <w:tcMar>
              <w:top w:w="55" w:type="dxa"/>
              <w:start w:w="70" w:type="dxa"/>
              <w:bottom w:w="55" w:type="dxa"/>
              <w:end w:w="70" w:type="dxa"/>
            </w:tcMar>
            <w:shd w:fill="1F4E78"/>
          </w:tcPr>
          <w:p>
            <w:pPr>
              <w:spacing w:after="0" w:before="0" w:line="240" w:lineRule="auto"/>
              <w:jc w:val="center"/>
            </w:pPr>
            <w:r/>
            <w:r>
              <w:rPr>
                <w:rFonts w:ascii="Arial" w:hAnsi="Arial" w:eastAsia="Arial"/>
                <w:b/>
                <w:color w:val="FFFFFF"/>
                <w:sz w:val="17"/>
              </w:rPr>
              <w:t>Uygulama</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Temel Kabuller</w:t>
            </w:r>
          </w:p>
        </w:tc>
        <w:tc>
          <w:tcPr>
            <w:tcW w:type="dxa" w:w="8561"/>
            <w:vAlign w:val="center"/>
            <w:tcMar>
              <w:top w:w="55" w:type="dxa"/>
              <w:start w:w="70" w:type="dxa"/>
              <w:bottom w:w="55" w:type="dxa"/>
              <w:end w:w="70" w:type="dxa"/>
            </w:tcMar>
          </w:tcPr>
          <w:p>
            <w:pPr>
              <w:spacing w:after="0" w:before="0" w:line="240" w:lineRule="auto"/>
            </w:pPr>
            <w:r>
              <w:rPr>
                <w:b w:val="0"/>
                <w:sz w:val="16"/>
              </w:rPr>
              <w:t>Öğrencilerin temel bilgisayar ve yapay zekâ farkındalığına; algoritma, problem çözme ve hata ayıklama hakkında önceki öğrenmelere sahip oldukları kabul edilir.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Ön Değerlendirme Süreci</w:t>
            </w:r>
          </w:p>
        </w:tc>
        <w:tc>
          <w:tcPr>
            <w:tcW w:type="dxa" w:w="8561"/>
            <w:vAlign w:val="center"/>
            <w:tcMar>
              <w:top w:w="55" w:type="dxa"/>
              <w:start w:w="70" w:type="dxa"/>
              <w:bottom w:w="55" w:type="dxa"/>
              <w:end w:w="70" w:type="dxa"/>
            </w:tcMar>
          </w:tcPr>
          <w:p>
            <w:pPr>
              <w:spacing w:after="0" w:before="0" w:line="240" w:lineRule="auto"/>
            </w:pPr>
            <w:r>
              <w:rPr>
                <w:b w:val="0"/>
                <w:sz w:val="16"/>
              </w:rPr>
              <w:t>Problem çözme ve algoritmik düşünmeyi ortaya çıkaracak kısa görevler verilir. Basit bir karakter hareketi veya günlük bir işlemin adımlarını sıralama üzerinden öğrencilerin blok tabanlı ortam deneyimi, sıralama ve hata ayıklama becerileri gözlenir.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Köprü Kurma</w:t>
            </w:r>
          </w:p>
        </w:tc>
        <w:tc>
          <w:tcPr>
            <w:tcW w:type="dxa" w:w="8561"/>
            <w:vAlign w:val="center"/>
            <w:tcMar>
              <w:top w:w="55" w:type="dxa"/>
              <w:start w:w="70" w:type="dxa"/>
              <w:bottom w:w="55" w:type="dxa"/>
              <w:end w:w="70" w:type="dxa"/>
            </w:tcMar>
          </w:tcPr>
          <w:p>
            <w:pPr>
              <w:spacing w:after="0" w:before="0" w:line="240" w:lineRule="auto"/>
            </w:pPr>
            <w:r>
              <w:rPr>
                <w:b w:val="0"/>
                <w:sz w:val="16"/>
              </w:rPr>
              <w:t>Günlük yaşam problemleri; navigasyonun rota seçmesi, sesli asistanın hatırlatma üretmesi ve makinelerin belirli adımlarla çalışması üzerinden programlama, algoritma ve yapay zekâ destekli problem çözmeyle ilişkilendirilir.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Öğrenme-Öğretme Uygulamaları</w:t>
            </w:r>
          </w:p>
        </w:tc>
        <w:tc>
          <w:tcPr>
            <w:tcW w:type="dxa" w:w="8561"/>
            <w:vAlign w:val="center"/>
            <w:tcMar>
              <w:top w:w="55" w:type="dxa"/>
              <w:start w:w="70" w:type="dxa"/>
              <w:bottom w:w="55" w:type="dxa"/>
              <w:end w:w="70" w:type="dxa"/>
            </w:tcMar>
          </w:tcPr>
          <w:p>
            <w:r>
              <w:rPr>
                <w:b/>
                <w:color w:val="1F4E79"/>
                <w:sz w:val="16"/>
              </w:rPr>
              <w:t>1. DERS SAATİ (40 dk)</w:t>
            </w:r>
          </w:p>
          <w:p>
            <w:r>
              <w:rPr>
                <w:b w:val="0"/>
                <w:sz w:val="16"/>
              </w:rPr>
              <w:t>0–8 dk | Sunum düzeni: Ürünlerin sunum sırası ve akran değerlendirme ölçütleri açıklanır; her grup ürün dosyasının açıldığını kontrol eder.</w:t>
            </w:r>
          </w:p>
          <w:p>
            <w:r>
              <w:rPr>
                <w:b w:val="0"/>
                <w:sz w:val="16"/>
              </w:rPr>
              <w:t>8–32 dk | Ürün sunumları: Gruplar gerçek hayat problemini, gereksinimleri, seçilen araçları, yapay zekâ özelliğini, ürün demosunu ve test bulgusunu sunar. Dinleyiciler en az bir soru sorar.</w:t>
            </w:r>
          </w:p>
          <w:p>
            <w:r>
              <w:rPr>
                <w:b w:val="0"/>
                <w:sz w:val="16"/>
              </w:rPr>
              <w:t>32–38 dk | Akran değerlendirme: Çalışırlık, amaca uygunluk, güvenli veri kullanımı, açıklık ve özgünlük ölçütleriyle kısa form doldurulur.</w:t>
            </w:r>
          </w:p>
          <w:p>
            <w:r>
              <w:rPr>
                <w:b w:val="0"/>
                <w:sz w:val="16"/>
              </w:rPr>
              <w:t>38–40 dk | Ara toplama: Formlar gruplara iletilmek üzere toplanır.</w:t>
            </w:r>
          </w:p>
          <w:p>
            <w:r>
              <w:rPr>
                <w:b/>
                <w:color w:val="1F4E79"/>
                <w:sz w:val="16"/>
              </w:rPr>
              <w:t>2. DERS SAATİ (40 dk)</w:t>
            </w:r>
          </w:p>
          <w:p>
            <w:r>
              <w:rPr>
                <w:b w:val="0"/>
                <w:sz w:val="16"/>
              </w:rPr>
              <w:t>0–12 dk | Geri bildirim analizi: Gruplar aldığı geri bildirimleri “hemen uygulanabilir / sonraki sürüm / gerekçeyle uygulanmayacak” şeklinde sınıflandırır.</w:t>
            </w:r>
          </w:p>
          <w:p>
            <w:r>
              <w:rPr>
                <w:b w:val="0"/>
                <w:sz w:val="16"/>
              </w:rPr>
              <w:t>12–25 dk | Son revizyon: Uygulanabilir bir teknik veya sunumsal iyileştirme yapılır; son sürüm arşivlenir.</w:t>
            </w:r>
          </w:p>
          <w:p>
            <w:r>
              <w:rPr>
                <w:b w:val="0"/>
                <w:sz w:val="16"/>
              </w:rPr>
              <w:t>25–34 dk | Portfolyo: Proje özeti, ekran görüntüsü, test sonucu ve kişisel yansıtma dijital portfolyoya eklenir.</w:t>
            </w:r>
          </w:p>
          <w:p>
            <w:r>
              <w:rPr>
                <w:b w:val="0"/>
                <w:sz w:val="16"/>
              </w:rPr>
              <w:t>34–40 dk | Yıl sonu yansıtması: Öğrenciler 6. sınıf BTY’de veri, dijital ürün, ağ/iletişim, siber güvenlik, yapay zekâ ve programlama temalarından hangi becerileri birlikte kullandıklarını kısa kavram haritasıyla gösterir.</w:t>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Destekleme</w:t>
            </w:r>
          </w:p>
        </w:tc>
        <w:tc>
          <w:tcPr>
            <w:tcW w:type="dxa" w:w="8561"/>
            <w:vAlign w:val="center"/>
            <w:tcMar>
              <w:top w:w="55" w:type="dxa"/>
              <w:start w:w="70" w:type="dxa"/>
              <w:bottom w:w="55" w:type="dxa"/>
              <w:end w:w="70" w:type="dxa"/>
            </w:tcMar>
          </w:tcPr>
          <w:p>
            <w:pPr>
              <w:spacing w:after="0" w:before="0" w:line="240" w:lineRule="auto"/>
            </w:pPr>
            <w:r>
              <w:rPr>
                <w:b w:val="0"/>
                <w:sz w:val="16"/>
              </w:rPr>
              <w:t>Kod bloklarını renk/işlev gruplarıyla gösteren görsel yönerge, adım adım görev kartı ve çalışan örnek başlangıç dosyası sunulur. Öğrencinin tüm projeyi bir anda tamamlaması yerine tek işlevi çalıştırıp test etmesi sağlanır; akran desteği kullanılabilir.</w:t>
            </w:r>
            <w:r>
              <w:rPr>
                <w:rFonts w:ascii="Arial" w:hAnsi="Arial" w:eastAsia="Arial"/>
                <w:b w:val="0"/>
                <w:sz w:val="17"/>
              </w:rPr>
            </w:r>
          </w:p>
        </w:tc>
      </w:tr>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Farklılaştırma – Zenginleştirme</w:t>
            </w:r>
          </w:p>
        </w:tc>
        <w:tc>
          <w:tcPr>
            <w:tcW w:type="dxa" w:w="8561"/>
            <w:vAlign w:val="center"/>
            <w:tcMar>
              <w:top w:w="55" w:type="dxa"/>
              <w:start w:w="70" w:type="dxa"/>
              <w:bottom w:w="55" w:type="dxa"/>
              <w:end w:w="70" w:type="dxa"/>
            </w:tcMar>
          </w:tcPr>
          <w:p>
            <w:pPr>
              <w:spacing w:after="0" w:before="0" w:line="240" w:lineRule="auto"/>
            </w:pPr>
            <w:r>
              <w:rPr>
                <w:b w:val="0"/>
                <w:sz w:val="16"/>
              </w:rPr>
              <w:t>İleri düzey öğrencilerden aynı işlev için alternatif algoritma geliştirmeleri, kod tekrarını azaltmaları, ek test senaryosu oluşturmaları veya ürüne güvenli ve açıklanabilir ek özellik tasarlamaları istenir.</w:t>
            </w:r>
            <w:r>
              <w:rPr>
                <w:rFonts w:ascii="Arial" w:hAnsi="Arial" w:eastAsia="Arial"/>
                <w:b w:val="0"/>
                <w:sz w:val="17"/>
              </w:rPr>
            </w:r>
          </w:p>
        </w:tc>
      </w:tr>
    </w:tbl>
    <w:p>
      <w:pPr>
        <w:pStyle w:val="SectionHead"/>
        <w:jc w:val="left"/>
      </w:pPr>
      <w:r>
        <w:rPr>
          <w:color w:val="1F4E78"/>
        </w:rPr>
        <w:t>IV. BÖLÜM: ÖLÇME VE DEĞERLENDİRME / ÖĞRENME KANITLARI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Süreç boyunca planlama, blokları amaca uygun kullanma, test etme, hata ayıklama, iş birliği ve gerekçeli revizyon davranışları gözlem formu/kontrol listesiyle izlenir. Haftalık ürün veya proje sürümü çalışırlık, kod düzeni, problemle uyum ve kullanıcı deneyimi ölçütleriyle değerlendirilir. Öğrenci kısa öz değerlendirmede yaptığı değişikliği ve sonucunu açıklar. TYMM tema düzeyinde önerilen araçlar: kontrol listesi, gözlem formu, akran değerlendirme formu, rubrik ölçeği ve öz değerlendirme formu.</w:t>
            </w:r>
            <w:r>
              <w:rPr>
                <w:rFonts w:ascii="Arial" w:hAnsi="Arial" w:eastAsia="Arial"/>
                <w:b w:val="0"/>
                <w:sz w:val="17"/>
              </w:rPr>
            </w:r>
          </w:p>
        </w:tc>
      </w:tr>
    </w:tbl>
    <w:p>
      <w:pPr>
        <w:pStyle w:val="SectionHead"/>
        <w:jc w:val="left"/>
      </w:pPr>
      <w:r>
        <w:rPr>
          <w:color w:val="1F4E78"/>
        </w:rPr>
        <w:t>V. BÖLÜM: DERSİN DİĞER DERSLERLE İLİŞKİSİ</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10546"/>
      </w:tblGrid>
      <w:tr>
        <w:trPr>
          <w:cantSplit/>
        </w:trPr>
        <w:tc>
          <w:tcPr>
            <w:tcW w:type="dxa" w:w="10998"/>
            <w:vAlign w:val="center"/>
            <w:tcMar>
              <w:top w:w="55" w:type="dxa"/>
              <w:start w:w="70" w:type="dxa"/>
              <w:bottom w:w="55" w:type="dxa"/>
              <w:end w:w="70" w:type="dxa"/>
            </w:tcMar>
          </w:tcPr>
          <w:p>
            <w:pPr>
              <w:spacing w:after="0" w:before="0" w:line="240" w:lineRule="auto"/>
            </w:pPr>
            <w:r>
              <w:rPr>
                <w:b w:val="0"/>
                <w:sz w:val="16"/>
              </w:rPr>
              <w:t>Görsel Sanatlar, Matematik, Müzik, Sosyal Bilgiler, Türkçe</w:t>
            </w:r>
            <w:r>
              <w:rPr>
                <w:rFonts w:ascii="Arial" w:hAnsi="Arial" w:eastAsia="Arial"/>
                <w:b w:val="0"/>
                <w:sz w:val="17"/>
              </w:rPr>
            </w:r>
          </w:p>
        </w:tc>
      </w:tr>
    </w:tbl>
    <w:p>
      <w:pPr>
        <w:pStyle w:val="SectionHead"/>
        <w:jc w:val="left"/>
      </w:pPr>
      <w:r>
        <w:rPr>
          <w:color w:val="1F4E78"/>
        </w:rPr>
        <w:t>VI. BÖLÜM: PLANIN UYGULANMASIYLA İLGİLİ DİĞER AÇIKLAMALAR</w:t>
      </w:r>
    </w:p>
    <w:tbl>
      <w:tblPr>
        <w:tblW w:type="auto" w:w="0"/>
        <w:jc w:val="center"/>
        <w:tblLayout w:type="fixed"/>
        <w:tblLook w:firstColumn="1" w:firstRow="1" w:lastColumn="0" w:lastRow="0" w:noHBand="0" w:noVBand="1" w:val="04A0"/>
        <w:tblBorders>
          <w:top w:val="single" w:sz="5" w:color="7F8C8D"/>
          <w:left w:val="single" w:sz="5" w:color="7F8C8D"/>
          <w:bottom w:val="single" w:sz="5" w:color="7F8C8D"/>
          <w:right w:val="single" w:sz="5" w:color="7F8C8D"/>
          <w:insideH w:val="single" w:sz="5" w:color="7F8C8D"/>
          <w:insideV w:val="single" w:sz="5" w:color="7F8C8D"/>
        </w:tblBorders>
      </w:tblPr>
      <w:tblGrid>
        <w:gridCol w:w="5273"/>
        <w:gridCol w:w="5273"/>
      </w:tblGrid>
      <w:tr>
        <w:trPr>
          <w:cantSplit/>
        </w:trPr>
        <w:tc>
          <w:tcPr>
            <w:tcW w:type="dxa" w:w="2438"/>
            <w:vAlign w:val="center"/>
            <w:tcMar>
              <w:top w:w="55" w:type="dxa"/>
              <w:start w:w="70" w:type="dxa"/>
              <w:bottom w:w="55" w:type="dxa"/>
              <w:end w:w="70" w:type="dxa"/>
            </w:tcMar>
            <w:shd w:fill="D9EAF7"/>
          </w:tcPr>
          <w:p>
            <w:pPr>
              <w:spacing w:after="0" w:before="0" w:line="240" w:lineRule="auto"/>
            </w:pPr>
            <w:r/>
            <w:r>
              <w:rPr>
                <w:rFonts w:ascii="Arial" w:hAnsi="Arial" w:eastAsia="Arial"/>
                <w:b/>
                <w:sz w:val="17"/>
              </w:rPr>
              <w:t>Uygulama Notları</w:t>
            </w:r>
          </w:p>
        </w:tc>
        <w:tc>
          <w:tcPr>
            <w:tcW w:type="dxa" w:w="8561"/>
            <w:vAlign w:val="center"/>
            <w:tcMar>
              <w:top w:w="55" w:type="dxa"/>
              <w:start w:w="70" w:type="dxa"/>
              <w:bottom w:w="55" w:type="dxa"/>
              <w:end w:w="70" w:type="dxa"/>
            </w:tcMar>
          </w:tcPr>
          <w:p>
            <w:pPr>
              <w:spacing w:after="0" w:before="0" w:line="240" w:lineRule="auto"/>
            </w:pPr>
            <w:r>
              <w:rPr>
                <w:b w:val="0"/>
                <w:sz w:val="16"/>
              </w:rPr>
              <w:t>Plan, TYMM 6. sınıf Bilişim Teknolojileri ve Yazılım Dersi öğretim programındaki öğrenme çıktısı ve uygulama yaklaşımı temel alınarak haftalık ders süresine uyarlanmıştır. Yapay zekâ araçlarında yaş koşulları, okul politikası ve kişisel veri güvenliği gözetilmeli; gerçek kişisel veri, biyometrik veri veya öğrenciye ait hassas içerik kullanılmamalıdır.</w:t>
            </w:r>
            <w:r>
              <w:rPr>
                <w:rFonts w:ascii="Arial" w:hAnsi="Arial" w:eastAsia="Arial"/>
                <w:b w:val="0"/>
                <w:sz w:val="17"/>
              </w:rPr>
            </w:r>
          </w:p>
        </w:tc>
      </w:tr>
    </w:tbl>
    <w:p>
      <w:pPr>
        <w:spacing w:before="100" w:after="0"/>
        <w:jc w:val="center"/>
      </w:pPr>
      <w:r>
        <w:rPr>
          <w:rFonts w:ascii="Arial" w:hAnsi="Arial"/>
          <w:b/>
          <w:sz w:val="18"/>
        </w:rPr>
        <w:t>Uygundur</w:t>
      </w:r>
    </w:p>
    <w:tbl>
      <w:tblPr>
        <w:tblW w:type="auto" w:w="0"/>
        <w:jc w:val="center"/>
        <w:tblLayout w:type="fixed"/>
        <w:tblLook w:firstColumn="1" w:firstRow="1" w:lastColumn="0" w:lastRow="0" w:noHBand="0" w:noVBand="1" w:val="04A0"/>
      </w:tblPr>
      <w:tblGrid>
        <w:gridCol w:w="5273"/>
        <w:gridCol w:w="5273"/>
      </w:tblGrid>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Bilgisayar ve Öğretim Teknolojileri Öğretmeni</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sz w:val="17"/>
              </w:rPr>
              <w:t>Okul Müdürü</w:t>
            </w:r>
          </w:p>
        </w:tc>
      </w:tr>
      <w:tr>
        <w:trPr>
          <w:cantSplit/>
        </w:trPr>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c>
          <w:tcPr>
            <w:tcW w:type="dxa" w:w="5499"/>
            <w:tcMar>
              <w:top w:w="40" w:type="dxa"/>
              <w:start w:w="40" w:type="dxa"/>
              <w:bottom w:w="40" w:type="dxa"/>
              <w:end w:w="40" w:type="dxa"/>
            </w:tcMar>
            <w:tcBorders>
              <w:top w:val="nil"/>
              <w:left w:val="nil"/>
              <w:bottom w:val="nil"/>
              <w:right w:val="nil"/>
              <w:insideH w:val="nil"/>
              <w:insideV w:val="nil"/>
            </w:tcBorders>
          </w:tcPr>
          <w:p>
            <w:pPr>
              <w:spacing w:after="0" w:before="0" w:line="240" w:lineRule="auto"/>
              <w:jc w:val="center"/>
            </w:pPr>
            <w:r/>
            <w:r>
              <w:rPr>
                <w:rFonts w:ascii="Arial" w:hAnsi="Arial" w:eastAsia="Arial"/>
                <w:b w:val="0"/>
                <w:sz w:val="16"/>
              </w:rPr>
              <w:t>Ad Soyad / İmza</w:t>
            </w:r>
          </w:p>
        </w:tc>
      </w:tr>
    </w:tbl>
    <w:sectPr w:rsidR="00FC693F" w:rsidRPr="0006063C" w:rsidSect="00034616">
      <w:pgSz w:w="11906" w:h="16838"/>
      <w:pgMar w:top="652"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nTitle">
    <w:name w:val="PlanTitle"/>
    <w:pPr>
      <w:spacing w:before="0" w:after="40"/>
    </w:pPr>
    <w:rPr>
      <w:rFonts w:ascii="Arial" w:hAnsi="Arial" w:eastAsia="Arial"/>
      <w:b/>
      <w:sz w:val="24"/>
    </w:rPr>
  </w:style>
  <w:style w:type="paragraph" w:customStyle="1" w:styleId="SectionHead">
    <w:name w:val="SectionHead"/>
    <w:pPr>
      <w:spacing w:before="60" w:after="40"/>
    </w:pPr>
    <w:rPr>
      <w:rFonts w:ascii="Arial" w:hAnsi="Arial" w:eastAsia="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BTY Günlük Ders Planı - 1. Hafta</dc:title>
  <dc:subject>2026-2027 / BTY.5.1.1</dc:subject>
  <dc:creator/>
  <cp:keywords/>
  <dc:description>TYMM 5. sınıf BTY öğretim programı ve 2026-2027 haftalık takvim verileri esas alınarak hazırlanmıştır.</dc:description>
  <cp:lastModifiedBy/>
  <cp:revision>1</cp:revision>
  <dcterms:created xsi:type="dcterms:W3CDTF">2013-12-23T23:15:00Z</dcterms:created>
  <dcterms:modified xsi:type="dcterms:W3CDTF">2013-12-23T23:15:00Z</dcterms:modified>
  <cp:category/>
</cp:coreProperties>
</file>