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sz w:val="20"/>
        </w:rPr>
        <w:t>2026-2027 EĞİTİM – ÖĞRETİM YILI ………………………………… ORTAOKULU</w:t>
      </w:r>
    </w:p>
    <w:p>
      <w:pPr>
        <w:spacing w:after="60"/>
        <w:jc w:val="center"/>
      </w:pPr>
      <w:r>
        <w:rPr>
          <w:rFonts w:ascii="Arial" w:hAnsi="Arial" w:eastAsia="Arial"/>
          <w:b/>
          <w:sz w:val="22"/>
        </w:rPr>
        <w:t>6. SINIF BİLİŞİM TEKNOLOJİLERİ VE YAZILIM DERSİ GÜNLÜK DERS PLANI</w:t>
      </w:r>
    </w:p>
    <w:p>
      <w:pPr>
        <w:pStyle w:val="SectionHead"/>
        <w:jc w:val="left"/>
      </w:pPr>
      <w:r>
        <w:rPr>
          <w:color w:val="1F4E78"/>
        </w:rPr>
        <w:t>I. BÖLÜM: DERS BİLGİSİ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2636"/>
        <w:gridCol w:w="2636"/>
        <w:gridCol w:w="2636"/>
        <w:gridCol w:w="2636"/>
      </w:tblGrid>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Dersin Adı</w:t>
            </w:r>
          </w:p>
        </w:tc>
        <w:tc>
          <w:tcPr>
            <w:tcW w:type="dxa" w:w="3969"/>
            <w:vAlign w:val="center"/>
            <w:tcMar>
              <w:top w:w="55" w:type="dxa"/>
              <w:start w:w="70" w:type="dxa"/>
              <w:bottom w:w="55" w:type="dxa"/>
              <w:end w:w="70" w:type="dxa"/>
            </w:tcMar>
          </w:tcPr>
          <w:p>
            <w:pPr>
              <w:spacing w:after="0" w:before="0" w:line="240" w:lineRule="auto"/>
            </w:pPr>
            <w:r>
              <w:rPr>
                <w:b w:val="0"/>
                <w:sz w:val="16"/>
              </w:rPr>
              <w:t>Bilişim Teknolojileri ve Yazılım</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Tarih / Hafta</w:t>
            </w:r>
          </w:p>
        </w:tc>
        <w:tc>
          <w:tcPr>
            <w:tcW w:type="dxa" w:w="3855"/>
            <w:vAlign w:val="center"/>
            <w:tcMar>
              <w:top w:w="55" w:type="dxa"/>
              <w:start w:w="70" w:type="dxa"/>
              <w:bottom w:w="55" w:type="dxa"/>
              <w:end w:w="70" w:type="dxa"/>
            </w:tcMar>
          </w:tcPr>
          <w:p>
            <w:pPr>
              <w:spacing w:after="0" w:before="0" w:line="240" w:lineRule="auto"/>
            </w:pPr>
            <w:r>
              <w:rPr>
                <w:b w:val="0"/>
                <w:sz w:val="16"/>
              </w:rPr>
              <w:t>12 Ekim - 16 Ekim 2026 / 5. Hafta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Sınıf</w:t>
            </w:r>
          </w:p>
        </w:tc>
        <w:tc>
          <w:tcPr>
            <w:tcW w:type="dxa" w:w="3969"/>
            <w:vAlign w:val="center"/>
            <w:tcMar>
              <w:top w:w="55" w:type="dxa"/>
              <w:start w:w="70" w:type="dxa"/>
              <w:bottom w:w="55" w:type="dxa"/>
              <w:end w:w="70" w:type="dxa"/>
            </w:tcMar>
          </w:tcPr>
          <w:p>
            <w:pPr>
              <w:spacing w:after="0" w:before="0" w:line="240" w:lineRule="auto"/>
            </w:pPr>
            <w:r>
              <w:rPr>
                <w:b w:val="0"/>
                <w:sz w:val="16"/>
              </w:rPr>
              <w:t>6. Sınıf</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Süre</w:t>
            </w:r>
          </w:p>
        </w:tc>
        <w:tc>
          <w:tcPr>
            <w:tcW w:type="dxa" w:w="3855"/>
            <w:vAlign w:val="center"/>
            <w:tcMar>
              <w:top w:w="55" w:type="dxa"/>
              <w:start w:w="70" w:type="dxa"/>
              <w:bottom w:w="55" w:type="dxa"/>
              <w:end w:w="70" w:type="dxa"/>
            </w:tcMar>
          </w:tcPr>
          <w:p>
            <w:pPr>
              <w:spacing w:after="0" w:before="0" w:line="240" w:lineRule="auto"/>
            </w:pPr>
            <w:r>
              <w:rPr>
                <w:b w:val="0"/>
                <w:sz w:val="16"/>
              </w:rPr>
              <w:t>1+1 (toplam 80 dakika)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Tema / Ünite</w:t>
            </w:r>
          </w:p>
        </w:tc>
        <w:tc>
          <w:tcPr>
            <w:tcW w:type="dxa" w:w="9185"/>
            <w:vAlign w:val="center"/>
            <w:gridSpan w:val="3"/>
            <w:tcMar>
              <w:top w:w="55" w:type="dxa"/>
              <w:start w:w="70" w:type="dxa"/>
              <w:bottom w:w="55" w:type="dxa"/>
              <w:end w:w="70" w:type="dxa"/>
            </w:tcMar>
          </w:tcPr>
          <w:p>
            <w:pPr>
              <w:spacing w:after="0" w:before="0" w:line="240" w:lineRule="auto"/>
            </w:pPr>
            <w:r>
              <w:rPr>
                <w:b w:val="0"/>
                <w:sz w:val="16"/>
              </w:rPr>
              <w:t>Dijital Ürün Tasarımı ve Geliştirme</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İçerik Çerçevesi (Konu)</w:t>
            </w:r>
          </w:p>
        </w:tc>
        <w:tc>
          <w:tcPr>
            <w:tcW w:type="dxa" w:w="9185"/>
            <w:vAlign w:val="center"/>
            <w:gridSpan w:val="3"/>
            <w:tcMar>
              <w:top w:w="55" w:type="dxa"/>
              <w:start w:w="70" w:type="dxa"/>
              <w:bottom w:w="55" w:type="dxa"/>
              <w:end w:w="70" w:type="dxa"/>
            </w:tcMar>
          </w:tcPr>
          <w:p>
            <w:pPr>
              <w:spacing w:after="0" w:before="0" w:line="240" w:lineRule="auto"/>
            </w:pPr>
            <w:r>
              <w:rPr>
                <w:b w:val="0"/>
                <w:sz w:val="16"/>
              </w:rPr>
              <w:t>Ses Düzenleme Programlarına Giriş / Ses Dosyası için Kurgu Oluşturma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Alan Becerileri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BTYAB4. Dijital Ürün Geliştirme, BTYAB5. Veri Yönetimi</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Kavramsal Beceriler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 (TYMM tema düzeyinde ayrıca belirtilmemiştir.)</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Eğilimler</w:t>
            </w:r>
          </w:p>
        </w:tc>
        <w:tc>
          <w:tcPr>
            <w:tcW w:type="dxa" w:w="9185"/>
            <w:vAlign w:val="center"/>
            <w:gridSpan w:val="3"/>
            <w:tcMar>
              <w:top w:w="55" w:type="dxa"/>
              <w:start w:w="70" w:type="dxa"/>
              <w:bottom w:w="55" w:type="dxa"/>
              <w:end w:w="70" w:type="dxa"/>
            </w:tcMar>
          </w:tcPr>
          <w:p>
            <w:pPr>
              <w:spacing w:after="0" w:before="0" w:line="240" w:lineRule="auto"/>
            </w:pPr>
            <w:r>
              <w:rPr>
                <w:b w:val="0"/>
                <w:sz w:val="16"/>
              </w:rPr>
              <w:t>E1.1. Merak, E1.2. Bağımsızlık, E1.4. Kendine İnanma, E2.1. Empati, E2.2. Sorumluluk, E2.3. Girişkenlik, E2.4. Güven, E2.5. Oyunseverlik, E3.1. Muhakeme, E3.2. Odaklanma, E3.3. Yaratıcılık, E3.4. Gerçeği Arama, E3.5. Açık Fikirlilik, E3.8. Soru Sorma, E3.9. Şüphe Duyma, E3.10. Eleştirel Bakma</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Anahtar Kavramlar</w:t>
            </w:r>
          </w:p>
        </w:tc>
        <w:tc>
          <w:tcPr>
            <w:tcW w:type="dxa" w:w="9185"/>
            <w:vAlign w:val="center"/>
            <w:gridSpan w:val="3"/>
            <w:tcMar>
              <w:top w:w="55" w:type="dxa"/>
              <w:start w:w="70" w:type="dxa"/>
              <w:bottom w:w="55" w:type="dxa"/>
              <w:end w:w="70" w:type="dxa"/>
            </w:tcMar>
          </w:tcPr>
          <w:p>
            <w:pPr>
              <w:spacing w:after="0" w:before="0" w:line="240" w:lineRule="auto"/>
            </w:pPr>
            <w:r>
              <w:rPr>
                <w:b w:val="0"/>
                <w:sz w:val="16"/>
              </w:rPr>
              <w:t>fonksiyon, formül, grafik, hesaplama, hücre, hücre adı, montaj, satır, sütun, tablo, veri, video</w:t>
            </w:r>
            <w:r>
              <w:rPr>
                <w:rFonts w:ascii="Arial" w:hAnsi="Arial" w:eastAsia="Arial"/>
                <w:b w:val="0"/>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 Çıktısı ve</w:t>
              <w:br/>
              <w:t>Süreç Bileşenleri</w:t>
            </w:r>
          </w:p>
        </w:tc>
        <w:tc>
          <w:tcPr>
            <w:tcW w:type="dxa" w:w="9185"/>
            <w:vAlign w:val="center"/>
            <w:gridSpan w:val="3"/>
            <w:tcMar>
              <w:top w:w="55" w:type="dxa"/>
              <w:start w:w="70" w:type="dxa"/>
              <w:bottom w:w="55" w:type="dxa"/>
              <w:end w:w="70" w:type="dxa"/>
            </w:tcMar>
          </w:tcPr>
          <w:p>
            <w:pPr>
              <w:spacing w:after="0" w:before="0" w:line="240" w:lineRule="auto"/>
            </w:pPr>
            <w:r>
              <w:rPr>
                <w:b w:val="0"/>
                <w:sz w:val="16"/>
              </w:rPr>
              <w:t>BTY.6.2.5. Ses düzenleme programlarından yararlanabilme</w:t>
              <w:br/>
              <w:t>BTY.6.2.6. Ses dosyası için kurgu oluşturabilme</w:t>
              <w:br/>
              <w:t>a) Ses düzenleme programlarının temel özelliklerini tanır.</w:t>
              <w:br/>
              <w:t>b) Uygun ses düzenleme programını belirler.</w:t>
              <w:br/>
              <w:t>c) Belirlenen ses düzenleme programının arayüz özelliklerini kullanır.</w:t>
              <w:br/>
              <w:t>ç) Kullanılan ses düzenleme programını kullanım alanları/verimliliği açısından değerlendirir.</w:t>
              <w:br/>
              <w:t>a) Ses dosyası hazırlanacak gerçek hayat problemini belirler.</w:t>
              <w:br/>
              <w:t>b) Ses dosyası hazırlama sürecinde kullanılacak hikâye/senaryo unsurlarını belirler.</w:t>
              <w:br/>
              <w:t>c) Belirlenen unsurları kapsayan hikâye/senaryo oluşturur.</w:t>
              <w:br/>
              <w:t>ç) Hikâyeyi/senaryoyu bütünlük/kullanışlılık açısından değerlendirir.</w:t>
            </w:r>
            <w:r>
              <w:rPr>
                <w:rFonts w:ascii="Arial" w:hAnsi="Arial" w:eastAsia="Arial"/>
                <w:sz w:val="17"/>
              </w:rPr>
            </w:r>
          </w:p>
        </w:tc>
      </w:tr>
      <w:tr>
        <w:trPr>
          <w:cantSplit/>
        </w:trPr>
        <w:tc>
          <w:tcPr>
            <w:tcW w:type="dxa" w:w="1814"/>
            <w:vAlign w:val="center"/>
            <w:tcMar>
              <w:top w:w="55" w:type="dxa"/>
              <w:start w:w="70" w:type="dxa"/>
              <w:bottom w:w="55" w:type="dxa"/>
              <w:end w:w="70" w:type="dxa"/>
            </w:tcMar>
            <w:shd w:fill="D9EAF7"/>
          </w:tcPr>
          <w:p>
            <w:pPr>
              <w:spacing w:after="0" w:before="0" w:line="240" w:lineRule="auto"/>
            </w:pPr>
            <w:r/>
            <w:r>
              <w:rPr>
                <w:rFonts w:ascii="Arial" w:hAnsi="Arial" w:eastAsia="Arial"/>
                <w:b/>
                <w:sz w:val="17"/>
              </w:rPr>
              <w:t>Yöntem / Teknik</w:t>
            </w:r>
          </w:p>
        </w:tc>
        <w:tc>
          <w:tcPr>
            <w:tcW w:type="dxa" w:w="3969"/>
            <w:vAlign w:val="center"/>
            <w:tcMar>
              <w:top w:w="55" w:type="dxa"/>
              <w:start w:w="70" w:type="dxa"/>
              <w:bottom w:w="55" w:type="dxa"/>
              <w:end w:w="70" w:type="dxa"/>
            </w:tcMar>
          </w:tcPr>
          <w:p>
            <w:pPr>
              <w:spacing w:after="0" w:before="0" w:line="240" w:lineRule="auto"/>
            </w:pPr>
            <w:r>
              <w:rPr>
                <w:b w:val="0"/>
                <w:sz w:val="16"/>
              </w:rPr>
              <w:t>gösterip yaptırma, proje tabanlı öğrenme, iş birlikli çalışma, akran değerlendirme</w:t>
            </w:r>
            <w:r>
              <w:rPr>
                <w:rFonts w:ascii="Arial" w:hAnsi="Arial" w:eastAsia="Arial"/>
                <w:b w:val="0"/>
                <w:sz w:val="17"/>
              </w:rPr>
            </w:r>
          </w:p>
        </w:tc>
        <w:tc>
          <w:tcPr>
            <w:tcW w:type="dxa" w:w="1361"/>
            <w:vAlign w:val="center"/>
            <w:tcMar>
              <w:top w:w="55" w:type="dxa"/>
              <w:start w:w="70" w:type="dxa"/>
              <w:bottom w:w="55" w:type="dxa"/>
              <w:end w:w="70" w:type="dxa"/>
            </w:tcMar>
            <w:shd w:fill="D9EAF7"/>
          </w:tcPr>
          <w:p>
            <w:pPr>
              <w:spacing w:after="0" w:before="0" w:line="240" w:lineRule="auto"/>
            </w:pPr>
            <w:r/>
            <w:r>
              <w:rPr>
                <w:rFonts w:ascii="Arial" w:hAnsi="Arial" w:eastAsia="Arial"/>
                <w:b/>
                <w:sz w:val="17"/>
              </w:rPr>
              <w:t>Araç-Gereç / Materyal</w:t>
            </w:r>
          </w:p>
        </w:tc>
        <w:tc>
          <w:tcPr>
            <w:tcW w:type="dxa" w:w="3855"/>
            <w:vAlign w:val="center"/>
            <w:tcMar>
              <w:top w:w="55" w:type="dxa"/>
              <w:start w:w="70" w:type="dxa"/>
              <w:bottom w:w="55" w:type="dxa"/>
              <w:end w:w="70" w:type="dxa"/>
            </w:tcMar>
          </w:tcPr>
          <w:p>
            <w:pPr>
              <w:spacing w:after="0" w:before="0" w:line="240" w:lineRule="auto"/>
            </w:pPr>
            <w:r>
              <w:rPr>
                <w:b w:val="0"/>
                <w:sz w:val="16"/>
              </w:rPr>
              <w:t>bilgisayar, ses düzenleme programı, mikrofon/kulaklık, örnek ses dosyaları, senaryo/storyboard şablonu</w:t>
            </w:r>
            <w:r>
              <w:rPr>
                <w:rFonts w:ascii="Arial" w:hAnsi="Arial" w:eastAsia="Arial"/>
                <w:b w:val="0"/>
                <w:sz w:val="17"/>
              </w:rPr>
            </w:r>
          </w:p>
        </w:tc>
      </w:tr>
    </w:tbl>
    <w:p>
      <w:pPr>
        <w:pStyle w:val="SectionHead"/>
        <w:jc w:val="left"/>
      </w:pPr>
      <w:r>
        <w:rPr>
          <w:color w:val="1F4E78"/>
        </w:rPr>
        <w:t>II. BÖLÜM: PROGRAMLAR ARASI BİLEŞENLER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Sosyal-Duygusal Öğrenme Becerileri</w:t>
            </w:r>
          </w:p>
        </w:tc>
        <w:tc>
          <w:tcPr>
            <w:tcW w:type="dxa" w:w="8561"/>
            <w:vAlign w:val="center"/>
            <w:tcMar>
              <w:top w:w="55" w:type="dxa"/>
              <w:start w:w="70" w:type="dxa"/>
              <w:bottom w:w="55" w:type="dxa"/>
              <w:end w:w="70" w:type="dxa"/>
            </w:tcMar>
          </w:tcPr>
          <w:p>
            <w:pPr>
              <w:spacing w:after="0" w:before="0" w:line="240" w:lineRule="auto"/>
            </w:pPr>
            <w:r>
              <w:rPr>
                <w:b w:val="0"/>
                <w:sz w:val="16"/>
              </w:rPr>
              <w:t>SDB2.1. İletişim, SDB2.2. İş Birliği (tema düzeyindeki bileşenlerden bu haftanın etkinliklerinde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Değerler</w:t>
            </w:r>
          </w:p>
        </w:tc>
        <w:tc>
          <w:tcPr>
            <w:tcW w:type="dxa" w:w="8561"/>
            <w:vAlign w:val="center"/>
            <w:tcMar>
              <w:top w:w="55" w:type="dxa"/>
              <w:start w:w="70" w:type="dxa"/>
              <w:bottom w:w="55" w:type="dxa"/>
              <w:end w:w="70" w:type="dxa"/>
            </w:tcMar>
          </w:tcPr>
          <w:p>
            <w:pPr>
              <w:spacing w:after="0" w:before="0" w:line="240" w:lineRule="auto"/>
            </w:pPr>
            <w:r>
              <w:rPr>
                <w:b w:val="0"/>
                <w:sz w:val="16"/>
              </w:rPr>
              <w:t>D3. Çalışkanlık, D16. Sorumluluk (tema düzeyindeki değerlerden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Okuryazarlık Becerileri</w:t>
            </w:r>
          </w:p>
        </w:tc>
        <w:tc>
          <w:tcPr>
            <w:tcW w:type="dxa" w:w="8561"/>
            <w:vAlign w:val="center"/>
            <w:tcMar>
              <w:top w:w="55" w:type="dxa"/>
              <w:start w:w="70" w:type="dxa"/>
              <w:bottom w:w="55" w:type="dxa"/>
              <w:end w:w="70" w:type="dxa"/>
            </w:tcMar>
          </w:tcPr>
          <w:p>
            <w:pPr>
              <w:spacing w:after="0" w:before="0" w:line="240" w:lineRule="auto"/>
            </w:pPr>
            <w:r>
              <w:rPr>
                <w:b w:val="0"/>
                <w:sz w:val="16"/>
              </w:rPr>
              <w:t>OB2. Dijital Okuryazarlık, OB4. Görsel Okuryazarlık (tema düzeyindeki okuryazarlıklardan bu haftada öne çıkanlar)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Beceriler Arası İlişkiler</w:t>
            </w:r>
          </w:p>
        </w:tc>
        <w:tc>
          <w:tcPr>
            <w:tcW w:type="dxa" w:w="8561"/>
            <w:vAlign w:val="center"/>
            <w:tcMar>
              <w:top w:w="55" w:type="dxa"/>
              <w:start w:w="70" w:type="dxa"/>
              <w:bottom w:w="55" w:type="dxa"/>
              <w:end w:w="70" w:type="dxa"/>
            </w:tcMar>
          </w:tcPr>
          <w:p>
            <w:pPr>
              <w:spacing w:after="0" w:before="0" w:line="240" w:lineRule="auto"/>
            </w:pPr>
            <w:r>
              <w:rPr>
                <w:b w:val="0"/>
                <w:sz w:val="16"/>
              </w:rPr>
              <w:t>KB2.5. Sınıflandırma, KB2.6. Bilgi Toplama, KB2.11. Gözleme Dayalı Tahmin Etme, KB2.12. Mevcut Bilgiye/Veriye Dayalı Tahmin Etme, KB2.13. Yapılandırma, KB2.14. Yorumlama, KB2.17. Değerlendirme, KB2.20. Sentezleme</w:t>
            </w:r>
            <w:r>
              <w:rPr>
                <w:rFonts w:ascii="Arial" w:hAnsi="Arial" w:eastAsia="Arial"/>
                <w:b w:val="0"/>
                <w:sz w:val="17"/>
              </w:rPr>
            </w:r>
          </w:p>
        </w:tc>
      </w:tr>
    </w:tbl>
    <w:p>
      <w:pPr>
        <w:pStyle w:val="SectionHead"/>
        <w:jc w:val="left"/>
      </w:pPr>
      <w:r>
        <w:rPr>
          <w:color w:val="1F4E78"/>
        </w:rPr>
        <w:t>III. BÖLÜM: ÖĞRENME-ÖĞRETME YAŞANTILARI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Basamak / Özellik</w:t>
            </w:r>
          </w:p>
        </w:tc>
        <w:tc>
          <w:tcPr>
            <w:tcW w:type="dxa" w:w="8561"/>
            <w:vAlign w:val="center"/>
            <w:tcMar>
              <w:top w:w="55" w:type="dxa"/>
              <w:start w:w="70" w:type="dxa"/>
              <w:bottom w:w="55" w:type="dxa"/>
              <w:end w:w="70" w:type="dxa"/>
            </w:tcMar>
            <w:shd w:fill="1F4E78"/>
          </w:tcPr>
          <w:p>
            <w:pPr>
              <w:spacing w:after="0" w:before="0" w:line="240" w:lineRule="auto"/>
              <w:jc w:val="center"/>
            </w:pPr>
            <w:r/>
            <w:r>
              <w:rPr>
                <w:rFonts w:ascii="Arial" w:hAnsi="Arial" w:eastAsia="Arial"/>
                <w:b/>
                <w:color w:val="FFFFFF"/>
                <w:sz w:val="17"/>
              </w:rPr>
              <w:t>Uygulama</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Temel Kabuller</w:t>
            </w:r>
          </w:p>
        </w:tc>
        <w:tc>
          <w:tcPr>
            <w:tcW w:type="dxa" w:w="8561"/>
            <w:vAlign w:val="center"/>
            <w:tcMar>
              <w:top w:w="55" w:type="dxa"/>
              <w:start w:w="70" w:type="dxa"/>
              <w:bottom w:w="55" w:type="dxa"/>
              <w:end w:w="70" w:type="dxa"/>
            </w:tcMar>
          </w:tcPr>
          <w:p>
            <w:pPr>
              <w:spacing w:after="0" w:before="0" w:line="240" w:lineRule="auto"/>
            </w:pPr>
            <w:r>
              <w:rPr>
                <w:b w:val="0"/>
                <w:sz w:val="16"/>
              </w:rPr>
              <w:t>Öğrencilerin dosya-klasör yönetimi, temel klavye kullanımı, internet, görsel-yazı-sunum dosyaları ve temel matematiksel işlemler konusunda önceki deneyimlerinin olduğu; tablo, grafik ve verileri temel düzeyde okuyabildikleri kabul edilir.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Ön Değerlendirme Süreci</w:t>
            </w:r>
          </w:p>
        </w:tc>
        <w:tc>
          <w:tcPr>
            <w:tcW w:type="dxa" w:w="8561"/>
            <w:vAlign w:val="center"/>
            <w:tcMar>
              <w:top w:w="55" w:type="dxa"/>
              <w:start w:w="70" w:type="dxa"/>
              <w:bottom w:w="55" w:type="dxa"/>
              <w:end w:w="70" w:type="dxa"/>
            </w:tcMar>
          </w:tcPr>
          <w:p>
            <w:pPr>
              <w:spacing w:after="0" w:before="0" w:line="240" w:lineRule="auto"/>
            </w:pPr>
            <w:r>
              <w:rPr>
                <w:b w:val="0"/>
                <w:sz w:val="16"/>
              </w:rPr>
              <w:t>Öğrencilerin tablolama, ses veya video düzenleme deneyimi açık uçlu sorularla ortaya çıkarılır. Konuya göre “çok sayıda veriyi nasıl düzenlersiniz?”, “bir ses/video kaydını daha anlaşılır yapmak için neleri değiştirirsiniz?” gibi görevlerle hazırbulunuşluk belirlenir.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Köprü Kurma</w:t>
            </w:r>
          </w:p>
        </w:tc>
        <w:tc>
          <w:tcPr>
            <w:tcW w:type="dxa" w:w="8561"/>
            <w:vAlign w:val="center"/>
            <w:tcMar>
              <w:top w:w="55" w:type="dxa"/>
              <w:start w:w="70" w:type="dxa"/>
              <w:bottom w:w="55" w:type="dxa"/>
              <w:end w:w="70" w:type="dxa"/>
            </w:tcMar>
          </w:tcPr>
          <w:p>
            <w:pPr>
              <w:spacing w:after="0" w:before="0" w:line="240" w:lineRule="auto"/>
            </w:pPr>
            <w:r>
              <w:rPr>
                <w:b w:val="0"/>
                <w:sz w:val="16"/>
              </w:rPr>
              <w:t>Okul listeleri, sınıf anketleri, harçlık/alışveriş tabloları, podcast, okul duyurusu ve kısa video gibi günlük ürünler üzerinden veri düzenleme ile dijital ürün geliştirme arasında ilişki kurulur.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Öğrenme-Öğretme Uygulamaları</w:t>
            </w:r>
          </w:p>
        </w:tc>
        <w:tc>
          <w:tcPr>
            <w:tcW w:type="dxa" w:w="8561"/>
            <w:vAlign w:val="center"/>
            <w:tcMar>
              <w:top w:w="55" w:type="dxa"/>
              <w:start w:w="70" w:type="dxa"/>
              <w:bottom w:w="55" w:type="dxa"/>
              <w:end w:w="70" w:type="dxa"/>
            </w:tcMar>
          </w:tcPr>
          <w:p>
            <w:r>
              <w:rPr>
                <w:b/>
                <w:color w:val="1F4E79"/>
                <w:sz w:val="16"/>
              </w:rPr>
              <w:t>1. DERS SAATİ (40 dk) – BTY.6.2.5</w:t>
            </w:r>
          </w:p>
          <w:p>
            <w:r>
              <w:rPr>
                <w:b w:val="0"/>
                <w:sz w:val="16"/>
              </w:rPr>
              <w:t>0–8 dk | Dinleme karşılaştırması: Ham bir ses kaydı ile düzenlenmiş kısa bir kayıt dinletilir. Öğrenciler ses düzeyi, gereksiz bölüm, gürültü ve akış bakımından farkları belirtir.</w:t>
            </w:r>
          </w:p>
          <w:p>
            <w:r>
              <w:rPr>
                <w:b w:val="0"/>
                <w:sz w:val="16"/>
              </w:rPr>
              <w:t>8–18 dk | Araç özellikleri: Kesme, bölme, ses düzeyi, sessiz bölüm, efekt ve dışa aktarma gibi temel işlevler tanıtılır. Uygun ses düzenleme aracını seçerken kullanım kolaylığı ve ihtiyaç ölçütleri belirlenir.</w:t>
            </w:r>
          </w:p>
          <w:p>
            <w:r>
              <w:rPr>
                <w:b w:val="0"/>
                <w:sz w:val="16"/>
              </w:rPr>
              <w:t>18–32 dk | Arayüz uygulaması: Öğrenciler örnek ses dosyasını içe aktarır, gereksiz bir bölümü keser, ses düzeyini ayarlar ve farklı adla kaydeder/dışa aktarır.</w:t>
            </w:r>
          </w:p>
          <w:p>
            <w:r>
              <w:rPr>
                <w:b w:val="0"/>
                <w:sz w:val="16"/>
              </w:rPr>
              <w:t>32–40 dk | Verimlilik değerlendirmesi: Yapılan işlemlerin hangi iletişim problemini çözdüğü ve aracın amaca uygunluğu tartışılır.</w:t>
            </w:r>
          </w:p>
          <w:p>
            <w:r>
              <w:rPr>
                <w:b/>
                <w:color w:val="1F4E79"/>
                <w:sz w:val="16"/>
              </w:rPr>
              <w:t>2. DERS SAATİ (40 dk) – BTY.6.2.6</w:t>
            </w:r>
          </w:p>
          <w:p>
            <w:r>
              <w:rPr>
                <w:b w:val="0"/>
                <w:sz w:val="16"/>
              </w:rPr>
              <w:t>0–8 dk | Gerçek hayat ihtiyacı: Okul için 60–90 saniyelik “güvenli teknoloji kullanımı” sesli duyurusu hazırlama görevi verilir.</w:t>
            </w:r>
          </w:p>
          <w:p>
            <w:r>
              <w:rPr>
                <w:b w:val="0"/>
                <w:sz w:val="16"/>
              </w:rPr>
              <w:t>8–18 dk | Kurgu unsurları: Hedef kitle, ana mesaj, giriş–gelişme–sonuç, konuşmacı, müzik/efekt ve süre sınırı belirlenir. Telifli içerik yerine özgün veya uygun lisanslı ses kullanımı hatırlatılır.</w:t>
            </w:r>
          </w:p>
          <w:p>
            <w:r>
              <w:rPr>
                <w:b w:val="0"/>
                <w:sz w:val="16"/>
              </w:rPr>
              <w:t>18–32 dk | Senaryo yazma: Gruplar kısa ses senaryosu oluşturur; metni yüksek sesle okuyup süre, açıklık ve bütünlük açısından kontrol eder.</w:t>
            </w:r>
          </w:p>
          <w:p>
            <w:r>
              <w:rPr>
                <w:b w:val="0"/>
                <w:sz w:val="16"/>
              </w:rPr>
              <w:t>32–40 dk | Akran geribildirimi: Senaryolar “mesaj açık mı, süre uygun mu, gereksiz bölüm var mı?” ölçütleriyle karşılıklı değerlendirilir.</w:t>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Destekleme</w:t>
            </w:r>
          </w:p>
        </w:tc>
        <w:tc>
          <w:tcPr>
            <w:tcW w:type="dxa" w:w="8561"/>
            <w:vAlign w:val="center"/>
            <w:tcMar>
              <w:top w:w="55" w:type="dxa"/>
              <w:start w:w="70" w:type="dxa"/>
              <w:bottom w:w="55" w:type="dxa"/>
              <w:end w:w="70" w:type="dxa"/>
            </w:tcMar>
          </w:tcPr>
          <w:p>
            <w:pPr>
              <w:spacing w:after="0" w:before="0" w:line="240" w:lineRule="auto"/>
            </w:pPr>
            <w:r>
              <w:rPr>
                <w:b w:val="0"/>
                <w:sz w:val="16"/>
              </w:rPr>
              <w:t>Daha kısa medya dosyaları, hazır storyboard/senaryo şablonu ve adım adım kesme–sıralama–dışa aktarma yönergesi verilir. Teknik üretimde akran desteği sağlanır.</w:t>
            </w:r>
            <w:r>
              <w:rPr>
                <w:rFonts w:ascii="Arial" w:hAnsi="Arial" w:eastAsia="Arial"/>
                <w:b w:val="0"/>
                <w:sz w:val="17"/>
              </w:rPr>
            </w:r>
          </w:p>
        </w:tc>
      </w:tr>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Farklılaştırma – Zenginleştirme</w:t>
            </w:r>
          </w:p>
        </w:tc>
        <w:tc>
          <w:tcPr>
            <w:tcW w:type="dxa" w:w="8561"/>
            <w:vAlign w:val="center"/>
            <w:tcMar>
              <w:top w:w="55" w:type="dxa"/>
              <w:start w:w="70" w:type="dxa"/>
              <w:bottom w:w="55" w:type="dxa"/>
              <w:end w:w="70" w:type="dxa"/>
            </w:tcMar>
          </w:tcPr>
          <w:p>
            <w:pPr>
              <w:spacing w:after="0" w:before="0" w:line="240" w:lineRule="auto"/>
            </w:pPr>
            <w:r>
              <w:rPr>
                <w:b w:val="0"/>
                <w:sz w:val="16"/>
              </w:rPr>
              <w:t>Öğrenciler özgün ses/görsel öğeler üretebilir, alternatif kurgu tasarlayabilir veya aynı ürünün farklı hedef kitle için ikinci sürümünü hazırlayıp tasarım kararlarını açıklayabilir.</w:t>
            </w:r>
            <w:r>
              <w:rPr>
                <w:rFonts w:ascii="Arial" w:hAnsi="Arial" w:eastAsia="Arial"/>
                <w:b w:val="0"/>
                <w:sz w:val="17"/>
              </w:rPr>
            </w:r>
          </w:p>
        </w:tc>
      </w:tr>
    </w:tbl>
    <w:p>
      <w:pPr>
        <w:pStyle w:val="SectionHead"/>
        <w:jc w:val="left"/>
      </w:pPr>
      <w:r>
        <w:rPr>
          <w:color w:val="1F4E78"/>
        </w:rPr>
        <w:t>IV. BÖLÜM: ÖLÇME VE DEĞERLENDİRME / ÖĞRENME KANITLARI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Süreçte araç seçimi, kurgu planı, teknik işlemler, dosya yönetimi ve etik/telif uygunluğu gözlenir. Ürün; mesaj/kurgu bütünlüğü, teknik kalite, süre ve amaca uygunluk ölçütleriyle akran/öz değerlendirme ve kısa rubrik kullanılarak değerlendirilir; ürün dijital portfolyoya eklenebilir. TYMM tema düzeyinde önerilen araçlar: performans görevi, dereceli puanlama anahtarı, kontrol listesi, Web 2.0/e-içerik, dijital portfolyo, öz değerlendirme ve akran değerlendirme.</w:t>
            </w:r>
            <w:r>
              <w:rPr>
                <w:rFonts w:ascii="Arial" w:hAnsi="Arial" w:eastAsia="Arial"/>
                <w:b w:val="0"/>
                <w:sz w:val="17"/>
              </w:rPr>
            </w:r>
          </w:p>
        </w:tc>
      </w:tr>
    </w:tbl>
    <w:p>
      <w:pPr>
        <w:pStyle w:val="SectionHead"/>
        <w:jc w:val="left"/>
      </w:pPr>
      <w:r>
        <w:rPr>
          <w:color w:val="1F4E78"/>
        </w:rPr>
        <w:t>V. BÖLÜM: DERSİN DİĞER DERSLERLE İLİŞKİSİ</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10546"/>
      </w:tblGrid>
      <w:tr>
        <w:trPr>
          <w:cantSplit/>
        </w:trPr>
        <w:tc>
          <w:tcPr>
            <w:tcW w:type="dxa" w:w="10998"/>
            <w:vAlign w:val="center"/>
            <w:tcMar>
              <w:top w:w="55" w:type="dxa"/>
              <w:start w:w="70" w:type="dxa"/>
              <w:bottom w:w="55" w:type="dxa"/>
              <w:end w:w="70" w:type="dxa"/>
            </w:tcMar>
          </w:tcPr>
          <w:p>
            <w:pPr>
              <w:spacing w:after="0" w:before="0" w:line="240" w:lineRule="auto"/>
            </w:pPr>
            <w:r>
              <w:rPr>
                <w:b w:val="0"/>
                <w:sz w:val="16"/>
              </w:rPr>
              <w:t>Fen Bilimleri, Görsel Sanatlar, Matematik, Türkçe</w:t>
            </w:r>
            <w:r>
              <w:rPr>
                <w:rFonts w:ascii="Arial" w:hAnsi="Arial" w:eastAsia="Arial"/>
                <w:b w:val="0"/>
                <w:sz w:val="17"/>
              </w:rPr>
            </w:r>
          </w:p>
        </w:tc>
      </w:tr>
    </w:tbl>
    <w:p>
      <w:pPr>
        <w:pStyle w:val="SectionHead"/>
        <w:jc w:val="left"/>
      </w:pPr>
      <w:r>
        <w:rPr>
          <w:color w:val="1F4E78"/>
        </w:rPr>
        <w:t>VI. BÖLÜM: PLANIN UYGULANMASIYLA İLGİLİ DİĞER AÇIKLAMALAR</w:t>
      </w:r>
    </w:p>
    <w:tbl>
      <w:tblPr>
        <w:tblW w:type="auto" w:w="0"/>
        <w:jc w:val="center"/>
        <w:tblLayout w:type="fixed"/>
        <w:tblLook w:firstColumn="1" w:firstRow="1" w:lastColumn="0" w:lastRow="0" w:noHBand="0" w:noVBand="1" w:val="04A0"/>
        <w:tblBorders>
          <w:top w:val="single" w:sz="5" w:color="7F8C8D"/>
          <w:left w:val="single" w:sz="5" w:color="7F8C8D"/>
          <w:bottom w:val="single" w:sz="5" w:color="7F8C8D"/>
          <w:right w:val="single" w:sz="5" w:color="7F8C8D"/>
          <w:insideH w:val="single" w:sz="5" w:color="7F8C8D"/>
          <w:insideV w:val="single" w:sz="5" w:color="7F8C8D"/>
        </w:tblBorders>
      </w:tblPr>
      <w:tblGrid>
        <w:gridCol w:w="5273"/>
        <w:gridCol w:w="5273"/>
      </w:tblGrid>
      <w:tr>
        <w:trPr>
          <w:cantSplit/>
        </w:trPr>
        <w:tc>
          <w:tcPr>
            <w:tcW w:type="dxa" w:w="2438"/>
            <w:vAlign w:val="center"/>
            <w:tcMar>
              <w:top w:w="55" w:type="dxa"/>
              <w:start w:w="70" w:type="dxa"/>
              <w:bottom w:w="55" w:type="dxa"/>
              <w:end w:w="70" w:type="dxa"/>
            </w:tcMar>
            <w:shd w:fill="D9EAF7"/>
          </w:tcPr>
          <w:p>
            <w:pPr>
              <w:spacing w:after="0" w:before="0" w:line="240" w:lineRule="auto"/>
            </w:pPr>
            <w:r/>
            <w:r>
              <w:rPr>
                <w:rFonts w:ascii="Arial" w:hAnsi="Arial" w:eastAsia="Arial"/>
                <w:b/>
                <w:sz w:val="17"/>
              </w:rPr>
              <w:t>Uygulama Notları</w:t>
            </w:r>
          </w:p>
        </w:tc>
        <w:tc>
          <w:tcPr>
            <w:tcW w:type="dxa" w:w="8561"/>
            <w:vAlign w:val="center"/>
            <w:tcMar>
              <w:top w:w="55" w:type="dxa"/>
              <w:start w:w="70" w:type="dxa"/>
              <w:bottom w:w="55" w:type="dxa"/>
              <w:end w:w="70" w:type="dxa"/>
            </w:tcMar>
          </w:tcPr>
          <w:p>
            <w:pPr>
              <w:spacing w:after="0" w:before="0" w:line="240" w:lineRule="auto"/>
            </w:pPr>
            <w:r>
              <w:rPr>
                <w:b w:val="0"/>
                <w:sz w:val="16"/>
              </w:rPr>
              <w:t>Plan, TYMM 6. sınıf Bilişim Teknolojileri ve Yazılım Dersi öğretim programındaki öğrenme çıktısı ve uygulama yaklaşımı temel alınarak haftalık ders süresine uyarlanmıştır. Üretimde kişisel görüntü/ses ve telifli materyal yalnız gerekli izin ve kullanım hakkı varsa kullanılmalı; aksi hâlde özgün veya uygun lisanslı içerikler tercih edilmelidir.</w:t>
            </w:r>
            <w:r>
              <w:rPr>
                <w:rFonts w:ascii="Arial" w:hAnsi="Arial" w:eastAsia="Arial"/>
                <w:b w:val="0"/>
                <w:sz w:val="17"/>
              </w:rPr>
            </w:r>
          </w:p>
        </w:tc>
      </w:tr>
    </w:tbl>
    <w:p>
      <w:pPr>
        <w:spacing w:before="100" w:after="0"/>
        <w:jc w:val="center"/>
      </w:pPr>
      <w:r>
        <w:rPr>
          <w:rFonts w:ascii="Arial" w:hAnsi="Arial"/>
          <w:b/>
          <w:sz w:val="18"/>
        </w:rPr>
        <w:t>Uygundur</w:t>
      </w:r>
    </w:p>
    <w:tbl>
      <w:tblPr>
        <w:tblW w:type="auto" w:w="0"/>
        <w:jc w:val="center"/>
        <w:tblLayout w:type="fixed"/>
        <w:tblLook w:firstColumn="1" w:firstRow="1" w:lastColumn="0" w:lastRow="0" w:noHBand="0" w:noVBand="1" w:val="04A0"/>
      </w:tblPr>
      <w:tblGrid>
        <w:gridCol w:w="5273"/>
        <w:gridCol w:w="5273"/>
      </w:tblGrid>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Bilgisayar ve Öğretim Teknolojileri Öğretmeni</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sz w:val="17"/>
              </w:rPr>
              <w:t>Okul Müdürü</w:t>
            </w:r>
          </w:p>
        </w:tc>
      </w:tr>
      <w:tr>
        <w:trPr>
          <w:cantSplit/>
        </w:trPr>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c>
          <w:tcPr>
            <w:tcW w:type="dxa" w:w="5499"/>
            <w:tcMar>
              <w:top w:w="40" w:type="dxa"/>
              <w:start w:w="40" w:type="dxa"/>
              <w:bottom w:w="40" w:type="dxa"/>
              <w:end w:w="40" w:type="dxa"/>
            </w:tcMar>
            <w:tcBorders>
              <w:top w:val="nil"/>
              <w:left w:val="nil"/>
              <w:bottom w:val="nil"/>
              <w:right w:val="nil"/>
              <w:insideH w:val="nil"/>
              <w:insideV w:val="nil"/>
            </w:tcBorders>
          </w:tcPr>
          <w:p>
            <w:pPr>
              <w:spacing w:after="0" w:before="0" w:line="240" w:lineRule="auto"/>
              <w:jc w:val="center"/>
            </w:pPr>
            <w:r/>
            <w:r>
              <w:rPr>
                <w:rFonts w:ascii="Arial" w:hAnsi="Arial" w:eastAsia="Arial"/>
                <w:b w:val="0"/>
                <w:sz w:val="16"/>
              </w:rPr>
              <w:t>Ad Soyad / İmza</w:t>
            </w:r>
          </w:p>
        </w:tc>
      </w:tr>
    </w:tbl>
    <w:sectPr w:rsidR="00FC693F" w:rsidRPr="0006063C" w:rsidSect="00034616">
      <w:pgSz w:w="11906" w:h="16838"/>
      <w:pgMar w:top="652" w:right="680" w:bottom="652"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Title">
    <w:name w:val="PlanTitle"/>
    <w:pPr>
      <w:spacing w:before="0" w:after="40"/>
    </w:pPr>
    <w:rPr>
      <w:rFonts w:ascii="Arial" w:hAnsi="Arial" w:eastAsia="Arial"/>
      <w:b/>
      <w:sz w:val="24"/>
    </w:rPr>
  </w:style>
  <w:style w:type="paragraph" w:customStyle="1" w:styleId="SectionHead">
    <w:name w:val="SectionHead"/>
    <w:pPr>
      <w:spacing w:before="60" w:after="40"/>
    </w:pPr>
    <w:rPr>
      <w:rFonts w:ascii="Arial" w:hAnsi="Arial" w:eastAsia="Arial"/>
      <w: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BTY Günlük Ders Planı - 1. Hafta</dc:title>
  <dc:subject>2026-2027 / BTY.5.1.1</dc:subject>
  <dc:creator/>
  <cp:keywords/>
  <dc:description>TYMM 5. sınıf BTY öğretim programı ve 2026-2027 haftalık takvim verileri esas alınarak hazırlanmıştır.</dc:description>
  <cp:lastModifiedBy/>
  <cp:revision>1</cp:revision>
  <dcterms:created xsi:type="dcterms:W3CDTF">2013-12-23T23:15:00Z</dcterms:created>
  <dcterms:modified xsi:type="dcterms:W3CDTF">2013-12-23T23:15:00Z</dcterms:modified>
  <cp:category/>
</cp:coreProperties>
</file>