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sz w:val="20"/>
        </w:rPr>
        <w:t>2026-2027 EĞİTİM – ÖĞRETİM YILI ………………………………… ORTAOKULU</w:t>
      </w:r>
    </w:p>
    <w:p>
      <w:pPr>
        <w:spacing w:after="60"/>
        <w:jc w:val="center"/>
      </w:pPr>
      <w:r>
        <w:rPr>
          <w:rFonts w:ascii="Arial" w:hAnsi="Arial" w:eastAsia="Arial"/>
          <w:b/>
          <w:sz w:val="22"/>
        </w:rPr>
        <w:t>6. SINIF BİLİŞİM TEKNOLOJİLERİ VE YAZILIM DERSİ GÜNLÜK DERS PLANI</w:t>
      </w:r>
    </w:p>
    <w:p>
      <w:pPr>
        <w:pStyle w:val="SectionHead"/>
        <w:jc w:val="left"/>
      </w:pPr>
      <w:r>
        <w:rPr>
          <w:color w:val="1F4E78"/>
        </w:rPr>
        <w:t>I. BÖLÜM: DERS BİLGİSİ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2636"/>
        <w:gridCol w:w="2636"/>
        <w:gridCol w:w="2636"/>
        <w:gridCol w:w="2636"/>
      </w:tblGrid>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Dersin Adı</w:t>
            </w:r>
          </w:p>
        </w:tc>
        <w:tc>
          <w:tcPr>
            <w:tcW w:type="dxa" w:w="3969"/>
            <w:vAlign w:val="center"/>
            <w:tcMar>
              <w:top w:w="55" w:type="dxa"/>
              <w:start w:w="70" w:type="dxa"/>
              <w:bottom w:w="55" w:type="dxa"/>
              <w:end w:w="70" w:type="dxa"/>
            </w:tcMar>
          </w:tcPr>
          <w:p>
            <w:pPr>
              <w:spacing w:after="0" w:before="0" w:line="240" w:lineRule="auto"/>
            </w:pPr>
            <w:r>
              <w:rPr>
                <w:b w:val="0"/>
                <w:sz w:val="16"/>
              </w:rPr>
              <w:t>Bilişim Teknolojileri ve Yazılım</w:t>
            </w:r>
            <w:r>
              <w:rPr>
                <w:rFonts w:ascii="Arial" w:hAnsi="Arial" w:eastAsia="Arial"/>
                <w:b w:val="0"/>
                <w:sz w:val="17"/>
              </w:rPr>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Tarih / Hafta</w:t>
            </w:r>
          </w:p>
        </w:tc>
        <w:tc>
          <w:tcPr>
            <w:tcW w:type="dxa" w:w="3855"/>
            <w:vAlign w:val="center"/>
            <w:tcMar>
              <w:top w:w="55" w:type="dxa"/>
              <w:start w:w="70" w:type="dxa"/>
              <w:bottom w:w="55" w:type="dxa"/>
              <w:end w:w="70" w:type="dxa"/>
            </w:tcMar>
          </w:tcPr>
          <w:p>
            <w:pPr>
              <w:spacing w:after="0" w:before="0" w:line="240" w:lineRule="auto"/>
            </w:pPr>
            <w:r>
              <w:rPr>
                <w:b w:val="0"/>
                <w:sz w:val="16"/>
              </w:rPr>
              <w:t>09 Kasım - 13 Kasım 2026 / 9. Hafta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Sınıf</w:t>
            </w:r>
          </w:p>
        </w:tc>
        <w:tc>
          <w:tcPr>
            <w:tcW w:type="dxa" w:w="3969"/>
            <w:vAlign w:val="center"/>
            <w:tcMar>
              <w:top w:w="55" w:type="dxa"/>
              <w:start w:w="70" w:type="dxa"/>
              <w:bottom w:w="55" w:type="dxa"/>
              <w:end w:w="70" w:type="dxa"/>
            </w:tcMar>
          </w:tcPr>
          <w:p>
            <w:pPr>
              <w:spacing w:after="0" w:before="0" w:line="240" w:lineRule="auto"/>
            </w:pPr>
            <w:r>
              <w:rPr>
                <w:b w:val="0"/>
                <w:sz w:val="16"/>
              </w:rPr>
              <w:t>6. Sınıf</w:t>
            </w:r>
            <w:r>
              <w:rPr>
                <w:rFonts w:ascii="Arial" w:hAnsi="Arial" w:eastAsia="Arial"/>
                <w:b w:val="0"/>
                <w:sz w:val="17"/>
              </w:rPr>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Süre</w:t>
            </w:r>
          </w:p>
        </w:tc>
        <w:tc>
          <w:tcPr>
            <w:tcW w:type="dxa" w:w="3855"/>
            <w:vAlign w:val="center"/>
            <w:tcMar>
              <w:top w:w="55" w:type="dxa"/>
              <w:start w:w="70" w:type="dxa"/>
              <w:bottom w:w="55" w:type="dxa"/>
              <w:end w:w="70" w:type="dxa"/>
            </w:tcMar>
          </w:tcPr>
          <w:p>
            <w:pPr>
              <w:spacing w:after="0" w:before="0" w:line="240" w:lineRule="auto"/>
            </w:pPr>
            <w:r>
              <w:rPr>
                <w:b w:val="0"/>
                <w:sz w:val="16"/>
              </w:rPr>
              <w:t>1+1 (toplam 80 dakika)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Tema / Ünite</w:t>
            </w:r>
          </w:p>
        </w:tc>
        <w:tc>
          <w:tcPr>
            <w:tcW w:type="dxa" w:w="9185"/>
            <w:vAlign w:val="center"/>
            <w:gridSpan w:val="3"/>
            <w:tcMar>
              <w:top w:w="55" w:type="dxa"/>
              <w:start w:w="70" w:type="dxa"/>
              <w:bottom w:w="55" w:type="dxa"/>
              <w:end w:w="70" w:type="dxa"/>
            </w:tcMar>
          </w:tcPr>
          <w:p>
            <w:pPr>
              <w:spacing w:after="0" w:before="0" w:line="240" w:lineRule="auto"/>
            </w:pPr>
            <w:r>
              <w:rPr>
                <w:b w:val="0"/>
                <w:sz w:val="16"/>
              </w:rPr>
              <w:t>Dijital Ürün Tasarımı ve Geliştirme / Bilgisayar Ağları ve İletişim</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İçerik Çerçevesi (Konu)</w:t>
            </w:r>
          </w:p>
        </w:tc>
        <w:tc>
          <w:tcPr>
            <w:tcW w:type="dxa" w:w="9185"/>
            <w:vAlign w:val="center"/>
            <w:gridSpan w:val="3"/>
            <w:tcMar>
              <w:top w:w="55" w:type="dxa"/>
              <w:start w:w="70" w:type="dxa"/>
              <w:bottom w:w="55" w:type="dxa"/>
              <w:end w:w="70" w:type="dxa"/>
            </w:tcMar>
          </w:tcPr>
          <w:p>
            <w:pPr>
              <w:spacing w:after="0" w:before="0" w:line="240" w:lineRule="auto"/>
            </w:pPr>
            <w:r>
              <w:rPr>
                <w:b w:val="0"/>
                <w:sz w:val="16"/>
              </w:rPr>
              <w:t>Video Dosyası Geliştirme / İletişim Teknolojileri ve Çeşitleri</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Alan Becerileri</w:t>
            </w:r>
          </w:p>
        </w:tc>
        <w:tc>
          <w:tcPr>
            <w:tcW w:type="dxa" w:w="9185"/>
            <w:vAlign w:val="center"/>
            <w:gridSpan w:val="3"/>
            <w:tcMar>
              <w:top w:w="55" w:type="dxa"/>
              <w:start w:w="70" w:type="dxa"/>
              <w:bottom w:w="55" w:type="dxa"/>
              <w:end w:w="70" w:type="dxa"/>
            </w:tcMar>
          </w:tcPr>
          <w:p>
            <w:pPr>
              <w:spacing w:after="0" w:before="0" w:line="240" w:lineRule="auto"/>
            </w:pPr>
            <w:r>
              <w:rPr>
                <w:b w:val="0"/>
                <w:sz w:val="16"/>
              </w:rPr>
              <w:t>BTYAB4. Dijital Ürün Geliştirme, BTYAB5. Veri Yönetimi, BTYAB1. Bilişim Teknolojileri Kullanma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Kavramsal Beceriler</w:t>
            </w:r>
          </w:p>
        </w:tc>
        <w:tc>
          <w:tcPr>
            <w:tcW w:type="dxa" w:w="9185"/>
            <w:vAlign w:val="center"/>
            <w:gridSpan w:val="3"/>
            <w:tcMar>
              <w:top w:w="55" w:type="dxa"/>
              <w:start w:w="70" w:type="dxa"/>
              <w:bottom w:w="55" w:type="dxa"/>
              <w:end w:w="70" w:type="dxa"/>
            </w:tcMar>
          </w:tcPr>
          <w:p>
            <w:pPr>
              <w:spacing w:after="0" w:before="0" w:line="240" w:lineRule="auto"/>
            </w:pPr>
            <w:r>
              <w:rPr>
                <w:b w:val="0"/>
                <w:sz w:val="16"/>
              </w:rPr>
              <w:t>— (TYMM tema düzeyinde ayrıca belirtilmemiştir.)</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Eğilimler</w:t>
            </w:r>
          </w:p>
        </w:tc>
        <w:tc>
          <w:tcPr>
            <w:tcW w:type="dxa" w:w="9185"/>
            <w:vAlign w:val="center"/>
            <w:gridSpan w:val="3"/>
            <w:tcMar>
              <w:top w:w="55" w:type="dxa"/>
              <w:start w:w="70" w:type="dxa"/>
              <w:bottom w:w="55" w:type="dxa"/>
              <w:end w:w="70" w:type="dxa"/>
            </w:tcMar>
          </w:tcPr>
          <w:p>
            <w:pPr>
              <w:spacing w:after="0" w:before="0" w:line="240" w:lineRule="auto"/>
            </w:pPr>
            <w:r>
              <w:rPr>
                <w:b w:val="0"/>
                <w:sz w:val="16"/>
              </w:rPr>
              <w:t>E1.1. Merak, E1.2. Bağımsızlık, E1.4. Kendine İnanma, E2.1. Empati, E2.2. Sorumluluk, E2.3. Girişkenlik, E2.4. Güven, E2.5. Oyunseverlik, E3.1. Muhakeme, E3.2. Odaklanma, E3.3. Yaratıcılık, E3.4. Gerçeği Arama, E3.5. Açık Fikirlilik, E3.8. Soru Sorma, E3.9. Şüphe Duyma, E3.10. Eleştirel Bakma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Anahtar Kavramlar</w:t>
            </w:r>
          </w:p>
        </w:tc>
        <w:tc>
          <w:tcPr>
            <w:tcW w:type="dxa" w:w="9185"/>
            <w:vAlign w:val="center"/>
            <w:gridSpan w:val="3"/>
            <w:tcMar>
              <w:top w:w="55" w:type="dxa"/>
              <w:start w:w="70" w:type="dxa"/>
              <w:bottom w:w="55" w:type="dxa"/>
              <w:end w:w="70" w:type="dxa"/>
            </w:tcMar>
          </w:tcPr>
          <w:p>
            <w:pPr>
              <w:spacing w:after="0" w:before="0" w:line="240" w:lineRule="auto"/>
            </w:pPr>
            <w:r>
              <w:rPr>
                <w:b w:val="0"/>
                <w:sz w:val="16"/>
              </w:rPr>
              <w:t>fonksiyon, formül, grafik, hesaplama, hücre, hücre adı, montaj, satır, sütun, tablo, veri, video, alıcı, arama motoru, eş zamanlı iletişim, farklı zamanlı iletişim, geri bildirim, gönderen, gürültü, internet tarayıcısı, kanal, mesaj</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Öğrenme Çıktısı ve</w:t>
              <w:br/>
              <w:t>Süreç Bileşenleri</w:t>
            </w:r>
          </w:p>
        </w:tc>
        <w:tc>
          <w:tcPr>
            <w:tcW w:type="dxa" w:w="9185"/>
            <w:vAlign w:val="center"/>
            <w:gridSpan w:val="3"/>
            <w:tcMar>
              <w:top w:w="55" w:type="dxa"/>
              <w:start w:w="70" w:type="dxa"/>
              <w:bottom w:w="55" w:type="dxa"/>
              <w:end w:w="70" w:type="dxa"/>
            </w:tcMar>
          </w:tcPr>
          <w:p>
            <w:pPr>
              <w:spacing w:after="0" w:before="0" w:line="240" w:lineRule="auto"/>
            </w:pPr>
            <w:r>
              <w:rPr>
                <w:b w:val="0"/>
                <w:sz w:val="16"/>
              </w:rPr>
              <w:t>BTY.6.2.10. Video dosyası geliştirebilme</w:t>
              <w:br/>
              <w:t>BTY.6.3.1. İnternet ile amacına uygun olarak çalışabilme</w:t>
              <w:br/>
              <w:t>a) Tasarlanan hikâye/senaryo unsurlarından uyumlu bir video dosyası oluşturur.</w:t>
              <w:br/>
              <w:t>b) Oluşturulan videoyu belirlenen ölçütler açısından değerlendirir.</w:t>
              <w:br/>
              <w:t>a) İleri düzey arama yapmak için kullanabileceği arama motorlarını belirler.</w:t>
              <w:br/>
              <w:t>b) Belirlediği arama motorlarını kullanır.</w:t>
              <w:br/>
              <w:t>c) Öğrendiği yeni internet teknolojilerini verimlilik kapsamında değerlendirir.</w:t>
            </w:r>
            <w:r>
              <w:rPr>
                <w:rFonts w:ascii="Arial" w:hAnsi="Arial" w:eastAsia="Arial"/>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Yöntem / Teknik</w:t>
            </w:r>
          </w:p>
        </w:tc>
        <w:tc>
          <w:tcPr>
            <w:tcW w:type="dxa" w:w="3969"/>
            <w:vAlign w:val="center"/>
            <w:tcMar>
              <w:top w:w="55" w:type="dxa"/>
              <w:start w:w="70" w:type="dxa"/>
              <w:bottom w:w="55" w:type="dxa"/>
              <w:end w:w="70" w:type="dxa"/>
            </w:tcMar>
          </w:tcPr>
          <w:p>
            <w:pPr>
              <w:spacing w:after="0" w:before="0" w:line="240" w:lineRule="auto"/>
            </w:pPr>
            <w:r>
              <w:rPr>
                <w:b w:val="0"/>
                <w:sz w:val="16"/>
              </w:rPr>
              <w:t>gösterip yaptırma, proje tabanlı öğrenme, iş birlikli çalışma, akran değerlendirme</w:t>
            </w:r>
            <w:r>
              <w:rPr>
                <w:rFonts w:ascii="Arial" w:hAnsi="Arial" w:eastAsia="Arial"/>
                <w:b w:val="0"/>
                <w:sz w:val="17"/>
              </w:rPr>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Araç-Gereç / Materyal</w:t>
            </w:r>
          </w:p>
        </w:tc>
        <w:tc>
          <w:tcPr>
            <w:tcW w:type="dxa" w:w="3855"/>
            <w:vAlign w:val="center"/>
            <w:tcMar>
              <w:top w:w="55" w:type="dxa"/>
              <w:start w:w="70" w:type="dxa"/>
              <w:bottom w:w="55" w:type="dxa"/>
              <w:end w:w="70" w:type="dxa"/>
            </w:tcMar>
          </w:tcPr>
          <w:p>
            <w:pPr>
              <w:spacing w:after="0" w:before="0" w:line="240" w:lineRule="auto"/>
            </w:pPr>
            <w:r>
              <w:rPr>
                <w:b w:val="0"/>
                <w:sz w:val="16"/>
              </w:rPr>
              <w:t>bilgisayar, video düzenleme programı, telifsiz/özgün medya dosyaları, kulaklık, storyboard şablonu</w:t>
            </w:r>
            <w:r>
              <w:rPr>
                <w:rFonts w:ascii="Arial" w:hAnsi="Arial" w:eastAsia="Arial"/>
                <w:b w:val="0"/>
                <w:sz w:val="17"/>
              </w:rPr>
            </w:r>
          </w:p>
        </w:tc>
      </w:tr>
    </w:tbl>
    <w:p>
      <w:pPr>
        <w:pStyle w:val="SectionHead"/>
        <w:jc w:val="left"/>
      </w:pPr>
      <w:r>
        <w:rPr>
          <w:color w:val="1F4E78"/>
        </w:rPr>
        <w:t>II. BÖLÜM: PROGRAMLAR ARASI BİLEŞENLER</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Sosyal-Duygusal Öğrenme Becerileri</w:t>
            </w:r>
          </w:p>
        </w:tc>
        <w:tc>
          <w:tcPr>
            <w:tcW w:type="dxa" w:w="8561"/>
            <w:vAlign w:val="center"/>
            <w:tcMar>
              <w:top w:w="55" w:type="dxa"/>
              <w:start w:w="70" w:type="dxa"/>
              <w:bottom w:w="55" w:type="dxa"/>
              <w:end w:w="70" w:type="dxa"/>
            </w:tcMar>
          </w:tcPr>
          <w:p>
            <w:pPr>
              <w:spacing w:after="0" w:before="0" w:line="240" w:lineRule="auto"/>
            </w:pPr>
            <w:r>
              <w:rPr>
                <w:b w:val="0"/>
                <w:sz w:val="16"/>
              </w:rPr>
              <w:t>SDB1.2. Öz Düzenleme, SDB2.1. İletişim (tema düzeyindeki bileşenlerden bu haftanın etkinliklerinde öne çıkanlar)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Değerler</w:t>
            </w:r>
          </w:p>
        </w:tc>
        <w:tc>
          <w:tcPr>
            <w:tcW w:type="dxa" w:w="8561"/>
            <w:vAlign w:val="center"/>
            <w:tcMar>
              <w:top w:w="55" w:type="dxa"/>
              <w:start w:w="70" w:type="dxa"/>
              <w:bottom w:w="55" w:type="dxa"/>
              <w:end w:w="70" w:type="dxa"/>
            </w:tcMar>
          </w:tcPr>
          <w:p>
            <w:pPr>
              <w:spacing w:after="0" w:before="0" w:line="240" w:lineRule="auto"/>
            </w:pPr>
            <w:r>
              <w:rPr>
                <w:b w:val="0"/>
                <w:sz w:val="16"/>
              </w:rPr>
              <w:t>D6. Dürüstlük, D14. Saygı (tema düzeyindeki değerlerden bu haftada öne çıkanlar)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Okuryazarlık Becerileri</w:t>
            </w:r>
          </w:p>
        </w:tc>
        <w:tc>
          <w:tcPr>
            <w:tcW w:type="dxa" w:w="8561"/>
            <w:vAlign w:val="center"/>
            <w:tcMar>
              <w:top w:w="55" w:type="dxa"/>
              <w:start w:w="70" w:type="dxa"/>
              <w:bottom w:w="55" w:type="dxa"/>
              <w:end w:w="70" w:type="dxa"/>
            </w:tcMar>
          </w:tcPr>
          <w:p>
            <w:pPr>
              <w:spacing w:after="0" w:before="0" w:line="240" w:lineRule="auto"/>
            </w:pPr>
            <w:r>
              <w:rPr>
                <w:b w:val="0"/>
                <w:sz w:val="16"/>
              </w:rPr>
              <w:t>OB1. Bilgi Okuryazarlığı, OB2. Dijital Okuryazarlık (tema düzeyindeki okuryazarlıklardan bu haftada öne çıkanlar)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Beceriler Arası İlişkiler</w:t>
            </w:r>
          </w:p>
        </w:tc>
        <w:tc>
          <w:tcPr>
            <w:tcW w:type="dxa" w:w="8561"/>
            <w:vAlign w:val="center"/>
            <w:tcMar>
              <w:top w:w="55" w:type="dxa"/>
              <w:start w:w="70" w:type="dxa"/>
              <w:bottom w:w="55" w:type="dxa"/>
              <w:end w:w="70" w:type="dxa"/>
            </w:tcMar>
          </w:tcPr>
          <w:p>
            <w:pPr>
              <w:spacing w:after="0" w:before="0" w:line="240" w:lineRule="auto"/>
            </w:pPr>
            <w:r>
              <w:rPr>
                <w:b w:val="0"/>
                <w:sz w:val="16"/>
              </w:rPr>
              <w:t>KB2.5. Sınıflandırma, KB2.6. Bilgi Toplama, KB2.11. Gözleme Dayalı Tahmin Etme, KB2.12. Mevcut Bilgiye/Veriye Dayalı Tahmin Etme, KB2.13. Yapılandırma, KB2.14. Yorumlama, KB2.17. Değerlendirme, KB2.20. Sentezleme, KB2.10. Çıkarım Yapma, KB3.3. Eleştirel Düşünme</w:t>
            </w:r>
            <w:r>
              <w:rPr>
                <w:rFonts w:ascii="Arial" w:hAnsi="Arial" w:eastAsia="Arial"/>
                <w:b w:val="0"/>
                <w:sz w:val="17"/>
              </w:rPr>
            </w:r>
          </w:p>
        </w:tc>
      </w:tr>
    </w:tbl>
    <w:p>
      <w:pPr>
        <w:pStyle w:val="SectionHead"/>
        <w:jc w:val="left"/>
      </w:pPr>
      <w:r>
        <w:rPr>
          <w:color w:val="1F4E78"/>
        </w:rPr>
        <w:t>III. BÖLÜM: ÖĞRENME-ÖĞRETME YAŞANTILARI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1F4E78"/>
          </w:tcPr>
          <w:p>
            <w:pPr>
              <w:spacing w:after="0" w:before="0" w:line="240" w:lineRule="auto"/>
              <w:jc w:val="center"/>
            </w:pPr>
            <w:r/>
            <w:r>
              <w:rPr>
                <w:rFonts w:ascii="Arial" w:hAnsi="Arial" w:eastAsia="Arial"/>
                <w:b/>
                <w:color w:val="FFFFFF"/>
                <w:sz w:val="17"/>
              </w:rPr>
              <w:t>Basamak / Özellik</w:t>
            </w:r>
          </w:p>
        </w:tc>
        <w:tc>
          <w:tcPr>
            <w:tcW w:type="dxa" w:w="8561"/>
            <w:vAlign w:val="center"/>
            <w:tcMar>
              <w:top w:w="55" w:type="dxa"/>
              <w:start w:w="70" w:type="dxa"/>
              <w:bottom w:w="55" w:type="dxa"/>
              <w:end w:w="70" w:type="dxa"/>
            </w:tcMar>
            <w:shd w:fill="1F4E78"/>
          </w:tcPr>
          <w:p>
            <w:pPr>
              <w:spacing w:after="0" w:before="0" w:line="240" w:lineRule="auto"/>
              <w:jc w:val="center"/>
            </w:pPr>
            <w:r/>
            <w:r>
              <w:rPr>
                <w:rFonts w:ascii="Arial" w:hAnsi="Arial" w:eastAsia="Arial"/>
                <w:b/>
                <w:color w:val="FFFFFF"/>
                <w:sz w:val="17"/>
              </w:rPr>
              <w:t>Uygulama</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Temel Kabuller</w:t>
            </w:r>
          </w:p>
        </w:tc>
        <w:tc>
          <w:tcPr>
            <w:tcW w:type="dxa" w:w="8561"/>
            <w:vAlign w:val="center"/>
            <w:tcMar>
              <w:top w:w="55" w:type="dxa"/>
              <w:start w:w="70" w:type="dxa"/>
              <w:bottom w:w="55" w:type="dxa"/>
              <w:end w:w="70" w:type="dxa"/>
            </w:tcMar>
          </w:tcPr>
          <w:p>
            <w:pPr>
              <w:spacing w:after="0" w:before="0" w:line="240" w:lineRule="auto"/>
            </w:pPr>
            <w:r>
              <w:rPr>
                <w:b w:val="0"/>
                <w:sz w:val="16"/>
              </w:rPr>
              <w:t>Öğrencilerin dosya-klasör yönetimi, temel klavye kullanımı, internet, görsel-yazı-sunum dosyaları ve temel matematiksel işlemler konusunda önceki deneyimlerinin olduğu; tablo, grafik ve verileri temel düzeyde okuyabildikleri kabul edilir. Öğrencilerin internet kavramına aşina olduğu, temel düzeyde internet kullanabildiği; arama motoru, web sayfası ve web tarayıcısı gibi kavramlarla daha önce karşılaştığı kabul edilir.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Ön Değerlendirme Süreci</w:t>
            </w:r>
          </w:p>
        </w:tc>
        <w:tc>
          <w:tcPr>
            <w:tcW w:type="dxa" w:w="8561"/>
            <w:vAlign w:val="center"/>
            <w:tcMar>
              <w:top w:w="55" w:type="dxa"/>
              <w:start w:w="70" w:type="dxa"/>
              <w:bottom w:w="55" w:type="dxa"/>
              <w:end w:w="70" w:type="dxa"/>
            </w:tcMar>
          </w:tcPr>
          <w:p>
            <w:pPr>
              <w:spacing w:after="0" w:before="0" w:line="240" w:lineRule="auto"/>
            </w:pPr>
            <w:r>
              <w:rPr>
                <w:b w:val="0"/>
                <w:sz w:val="16"/>
              </w:rPr>
              <w:t>Öğrencilerin tablolama, ses veya video düzenleme deneyimi açık uçlu sorularla ortaya çıkarılır. Konuya göre “çok sayıda veriyi nasıl düzenlersiniz?”, “bir ses/video kaydını daha anlaşılır yapmak için neleri değiştirirsiniz?” gibi görevlerle hazırbulunuşluk belirlenir. İnternette araştırma yaparken kullanılan arama motorları, anahtar kelime tercihleri ve iletişim araçları hakkında kısa sorular sorulur. Öğrencilerin arama sonuçlarını ayırt etme, eş zamanlı/farklı zamanlı iletişimi tanıma ve e-posta kullanım deneyimleri gözlenir.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Köprü Kurma</w:t>
            </w:r>
          </w:p>
        </w:tc>
        <w:tc>
          <w:tcPr>
            <w:tcW w:type="dxa" w:w="8561"/>
            <w:vAlign w:val="center"/>
            <w:tcMar>
              <w:top w:w="55" w:type="dxa"/>
              <w:start w:w="70" w:type="dxa"/>
              <w:bottom w:w="55" w:type="dxa"/>
              <w:end w:w="70" w:type="dxa"/>
            </w:tcMar>
          </w:tcPr>
          <w:p>
            <w:pPr>
              <w:spacing w:after="0" w:before="0" w:line="240" w:lineRule="auto"/>
            </w:pPr>
            <w:r>
              <w:rPr>
                <w:b w:val="0"/>
                <w:sz w:val="16"/>
              </w:rPr>
              <w:t>Okul listeleri, sınıf anketleri, harçlık/alışveriş tabloları, podcast, okul duyurusu ve kısa video gibi günlük ürünler üzerinden veri düzenleme ile dijital ürün geliştirme arasında ilişki kurulur. Telefon, tablet ve bilgisayarların internete nasıl bağlandığı; mesajlaşma, görüntülü görüşme, e-posta ve web araması gibi günlük deneyimler dersin ağ ve iletişim kavramlarıyla ilişkilendirilir.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Öğrenme-Öğretme Uygulamaları</w:t>
            </w:r>
          </w:p>
        </w:tc>
        <w:tc>
          <w:tcPr>
            <w:tcW w:type="dxa" w:w="8561"/>
            <w:vAlign w:val="center"/>
            <w:tcMar>
              <w:top w:w="55" w:type="dxa"/>
              <w:start w:w="70" w:type="dxa"/>
              <w:bottom w:w="55" w:type="dxa"/>
              <w:end w:w="70" w:type="dxa"/>
            </w:tcMar>
          </w:tcPr>
          <w:p>
            <w:r>
              <w:rPr>
                <w:b/>
                <w:color w:val="1F4E79"/>
                <w:sz w:val="16"/>
              </w:rPr>
              <w:t>1. DERS SAATİ (40 dk) – BTY.6.2.10</w:t>
            </w:r>
          </w:p>
          <w:p>
            <w:r>
              <w:rPr>
                <w:b w:val="0"/>
                <w:sz w:val="16"/>
              </w:rPr>
              <w:t>0–6 dk | Üretim hazırlığı: Storyboard, medya dosyaları ve görev dağılımı gözden geçirilir. Eksik materyaller telifsiz/özgün seçeneklerle tamamlanır.</w:t>
            </w:r>
          </w:p>
          <w:p>
            <w:r>
              <w:rPr>
                <w:b w:val="0"/>
                <w:sz w:val="16"/>
              </w:rPr>
              <w:t>6–25 dk | Video geliştirme: Klipler zaman çizelgesine yerleştirilir; kesme, sıralama, başlık, ses ve uygun geçiş işlemleri uygulanır. Öğrenciler sık sık ön izleme yaparak storyboard ile uyumu kontrol eder.</w:t>
            </w:r>
          </w:p>
          <w:p>
            <w:r>
              <w:rPr>
                <w:b w:val="0"/>
                <w:sz w:val="16"/>
              </w:rPr>
              <w:t>25–34 dk | Değerlendirme ve revizyon: Ürün mesaj açıklığı, kurgu, teknik kalite, süre ve etik kullanım açısından kontrol edilir; bir revizyon yapılır.</w:t>
            </w:r>
          </w:p>
          <w:p>
            <w:r>
              <w:rPr>
                <w:b w:val="0"/>
                <w:sz w:val="16"/>
              </w:rPr>
              <w:t>34–40 dk | Dışa aktarma: Video uygun biçim ve dosya adıyla kaydedilir; dijital portfolyoya alınır.</w:t>
            </w:r>
          </w:p>
          <w:p>
            <w:r>
              <w:rPr>
                <w:b/>
                <w:color w:val="1F4E79"/>
                <w:sz w:val="16"/>
              </w:rPr>
              <w:t>2. DERS SAATİ (40 dk) – BTY.6.3.1’e giriş</w:t>
            </w:r>
          </w:p>
          <w:p>
            <w:r>
              <w:rPr>
                <w:b w:val="0"/>
                <w:sz w:val="16"/>
              </w:rPr>
              <w:t>0–8 dk | Araştırma problemi: “Videomuzda kullandığımız bir bilginin güvenilir kaynağını nasıl buluruz?” sorusuyla internet aramasına geçilir.</w:t>
            </w:r>
          </w:p>
          <w:p>
            <w:r>
              <w:rPr>
                <w:b w:val="0"/>
                <w:sz w:val="16"/>
              </w:rPr>
              <w:t>8–18 dk | Arama motoru ve anahtar kelime: Öğrencilerin kullandığı arama yöntemleri karşılaştırılır; geniş ve dar anahtar kelimelerin sonuçlara etkisi gösterilir.</w:t>
            </w:r>
          </w:p>
          <w:p>
            <w:r>
              <w:rPr>
                <w:b w:val="0"/>
                <w:sz w:val="16"/>
              </w:rPr>
              <w:t>18–32 dk | Gelişmiş arama denemesi: Tırnak işareti, site:, filetype: gibi operatörlerden uygun olanlar öğretmen örneğiyle uygulanır; iki farklı sorgunun sonuç kalitesi karşılaştırılır.</w:t>
            </w:r>
          </w:p>
          <w:p>
            <w:r>
              <w:rPr>
                <w:b w:val="0"/>
                <w:sz w:val="16"/>
              </w:rPr>
              <w:t>32–40 dk | Verimlilik notu: Öğrenciler “daha az sonuç değil, daha ilgili sonuç” ölçütüyle arama stratejisini değerlendirir.</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Farklılaştırma – Destekleme</w:t>
            </w:r>
          </w:p>
        </w:tc>
        <w:tc>
          <w:tcPr>
            <w:tcW w:type="dxa" w:w="8561"/>
            <w:vAlign w:val="center"/>
            <w:tcMar>
              <w:top w:w="55" w:type="dxa"/>
              <w:start w:w="70" w:type="dxa"/>
              <w:bottom w:w="55" w:type="dxa"/>
              <w:end w:w="70" w:type="dxa"/>
            </w:tcMar>
          </w:tcPr>
          <w:p>
            <w:pPr>
              <w:spacing w:after="0" w:before="0" w:line="240" w:lineRule="auto"/>
            </w:pPr>
            <w:r>
              <w:rPr>
                <w:b w:val="0"/>
                <w:sz w:val="16"/>
              </w:rPr>
              <w:t>Daha kısa medya dosyaları, hazır storyboard/senaryo şablonu ve adım adım kesme–sıralama–dışa aktarma yönergesi verilir. Teknik üretimde akran desteği sağlanır.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Farklılaştırma – Zenginleştirme</w:t>
            </w:r>
          </w:p>
        </w:tc>
        <w:tc>
          <w:tcPr>
            <w:tcW w:type="dxa" w:w="8561"/>
            <w:vAlign w:val="center"/>
            <w:tcMar>
              <w:top w:w="55" w:type="dxa"/>
              <w:start w:w="70" w:type="dxa"/>
              <w:bottom w:w="55" w:type="dxa"/>
              <w:end w:w="70" w:type="dxa"/>
            </w:tcMar>
          </w:tcPr>
          <w:p>
            <w:pPr>
              <w:spacing w:after="0" w:before="0" w:line="240" w:lineRule="auto"/>
            </w:pPr>
            <w:r>
              <w:rPr>
                <w:b w:val="0"/>
                <w:sz w:val="16"/>
              </w:rPr>
              <w:t>Öğrenciler özgün ses/görsel öğeler üretebilir, alternatif kurgu tasarlayabilir veya aynı ürünün farklı hedef kitle için ikinci sürümünü hazırlayıp tasarım kararlarını açıklayabilir.</w:t>
            </w:r>
            <w:r>
              <w:rPr>
                <w:rFonts w:ascii="Arial" w:hAnsi="Arial" w:eastAsia="Arial"/>
                <w:b w:val="0"/>
                <w:sz w:val="17"/>
              </w:rPr>
            </w:r>
          </w:p>
        </w:tc>
      </w:tr>
    </w:tbl>
    <w:p>
      <w:pPr>
        <w:pStyle w:val="SectionHead"/>
        <w:jc w:val="left"/>
      </w:pPr>
      <w:r>
        <w:rPr>
          <w:color w:val="1F4E78"/>
        </w:rPr>
        <w:t>IV. BÖLÜM: ÖLÇME VE DEĞERLENDİRME / ÖĞRENME KANITLARI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10546"/>
      </w:tblGrid>
      <w:tr>
        <w:trPr>
          <w:cantSplit/>
        </w:trPr>
        <w:tc>
          <w:tcPr>
            <w:tcW w:type="dxa" w:w="10998"/>
            <w:vAlign w:val="center"/>
            <w:tcMar>
              <w:top w:w="55" w:type="dxa"/>
              <w:start w:w="70" w:type="dxa"/>
              <w:bottom w:w="55" w:type="dxa"/>
              <w:end w:w="70" w:type="dxa"/>
            </w:tcMar>
          </w:tcPr>
          <w:p>
            <w:pPr>
              <w:spacing w:after="0" w:before="0" w:line="240" w:lineRule="auto"/>
            </w:pPr>
            <w:r>
              <w:rPr>
                <w:b w:val="0"/>
                <w:sz w:val="16"/>
              </w:rPr>
              <w:t>Süreçte araç seçimi, kurgu planı, teknik işlemler, dosya yönetimi ve etik/telif uygunluğu gözlenir. Ürün; mesaj/kurgu bütünlüğü, teknik kalite, süre ve amaca uygunluk ölçütleriyle akran/öz değerlendirme ve kısa rubrik kullanılarak değerlendirilir; ürün dijital portfolyoya eklenebilir. TYMM tema düzeyinde önerilen araçlar: performans görevi, dereceli puanlama anahtarı, kontrol listesi, Web 2.0/e-içerik, dijital portfolyo, öz değerlendirme ve akran değerlendirme, öz değerlendirme formu, akran değerlendirme formu, gözlem formu ve kontrol listesi.</w:t>
            </w:r>
            <w:r>
              <w:rPr>
                <w:rFonts w:ascii="Arial" w:hAnsi="Arial" w:eastAsia="Arial"/>
                <w:b w:val="0"/>
                <w:sz w:val="17"/>
              </w:rPr>
            </w:r>
          </w:p>
        </w:tc>
      </w:tr>
    </w:tbl>
    <w:p>
      <w:pPr>
        <w:pStyle w:val="SectionHead"/>
        <w:jc w:val="left"/>
      </w:pPr>
      <w:r>
        <w:rPr>
          <w:color w:val="1F4E78"/>
        </w:rPr>
        <w:t>V. BÖLÜM: DERSİN DİĞER DERSLERLE İLİŞKİSİ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10546"/>
      </w:tblGrid>
      <w:tr>
        <w:trPr>
          <w:cantSplit/>
        </w:trPr>
        <w:tc>
          <w:tcPr>
            <w:tcW w:type="dxa" w:w="10998"/>
            <w:vAlign w:val="center"/>
            <w:tcMar>
              <w:top w:w="55" w:type="dxa"/>
              <w:start w:w="70" w:type="dxa"/>
              <w:bottom w:w="55" w:type="dxa"/>
              <w:end w:w="70" w:type="dxa"/>
            </w:tcMar>
          </w:tcPr>
          <w:p>
            <w:pPr>
              <w:spacing w:after="0" w:before="0" w:line="240" w:lineRule="auto"/>
            </w:pPr>
            <w:r>
              <w:rPr>
                <w:b w:val="0"/>
                <w:sz w:val="16"/>
              </w:rPr>
              <w:t>Fen Bilimleri, Görsel Sanatlar, Matematik, Türkçe</w:t>
            </w:r>
            <w:r>
              <w:rPr>
                <w:rFonts w:ascii="Arial" w:hAnsi="Arial" w:eastAsia="Arial"/>
                <w:b w:val="0"/>
                <w:sz w:val="17"/>
              </w:rPr>
            </w:r>
          </w:p>
        </w:tc>
      </w:tr>
    </w:tbl>
    <w:p>
      <w:pPr>
        <w:pStyle w:val="SectionHead"/>
        <w:jc w:val="left"/>
      </w:pPr>
      <w:r>
        <w:rPr>
          <w:color w:val="1F4E78"/>
        </w:rPr>
        <w:t>VI. BÖLÜM: PLANIN UYGULANMASIYLA İLGİLİ DİĞER AÇIKLAMALAR</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Uygulama Notları</w:t>
            </w:r>
          </w:p>
        </w:tc>
        <w:tc>
          <w:tcPr>
            <w:tcW w:type="dxa" w:w="8561"/>
            <w:vAlign w:val="center"/>
            <w:tcMar>
              <w:top w:w="55" w:type="dxa"/>
              <w:start w:w="70" w:type="dxa"/>
              <w:bottom w:w="55" w:type="dxa"/>
              <w:end w:w="70" w:type="dxa"/>
            </w:tcMar>
          </w:tcPr>
          <w:p>
            <w:pPr>
              <w:spacing w:after="0" w:before="0" w:line="240" w:lineRule="auto"/>
            </w:pPr>
            <w:r>
              <w:rPr>
                <w:b w:val="0"/>
                <w:sz w:val="16"/>
              </w:rPr>
              <w:t>Plan, TYMM 6. sınıf Bilişim Teknolojileri ve Yazılım Dersi öğretim programındaki öğrenme çıktısı ve uygulama yaklaşımı temel alınarak haftalık ders süresine uyarlanmıştır. Üretimde kişisel görüntü/ses ve telifli materyal yalnız gerekli izin ve kullanım hakkı varsa kullanılmalı; aksi hâlde özgün veya uygun lisanslı içerikler tercih edilmelidir. 10 Kasım Atatürk’ü Anma Günü bu haftaya denk gelir; okul programı nedeniyle ders süresinde değişiklik olursa uygulama akışı korunarak süre ayarlanır.</w:t>
            </w:r>
            <w:r>
              <w:rPr>
                <w:rFonts w:ascii="Arial" w:hAnsi="Arial" w:eastAsia="Arial"/>
                <w:b w:val="0"/>
                <w:sz w:val="17"/>
              </w:rPr>
            </w:r>
          </w:p>
        </w:tc>
      </w:tr>
    </w:tbl>
    <w:p>
      <w:pPr>
        <w:spacing w:before="100" w:after="0"/>
        <w:jc w:val="center"/>
      </w:pPr>
      <w:r>
        <w:rPr>
          <w:rFonts w:ascii="Arial" w:hAnsi="Arial"/>
          <w:b/>
          <w:sz w:val="18"/>
        </w:rPr>
        <w:t>Uygundur</w:t>
      </w:r>
    </w:p>
    <w:tbl>
      <w:tblPr>
        <w:tblW w:type="auto" w:w="0"/>
        <w:jc w:val="center"/>
        <w:tblLayout w:type="fixed"/>
        <w:tblLook w:firstColumn="1" w:firstRow="1" w:lastColumn="0" w:lastRow="0" w:noHBand="0" w:noVBand="1" w:val="04A0"/>
      </w:tblPr>
      <w:tblGrid>
        <w:gridCol w:w="5273"/>
        <w:gridCol w:w="5273"/>
      </w:tblGrid>
      <w:tr>
        <w:trPr>
          <w:cantSplit/>
        </w:trPr>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sz w:val="17"/>
              </w:rPr>
              <w:t>Bilgisayar ve Öğretim Teknolojileri Öğretmeni</w:t>
            </w:r>
          </w:p>
        </w:tc>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sz w:val="17"/>
              </w:rPr>
              <w:t>Okul Müdürü</w:t>
            </w:r>
          </w:p>
        </w:tc>
      </w:tr>
      <w:tr>
        <w:trPr>
          <w:cantSplit/>
        </w:trPr>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val="0"/>
                <w:sz w:val="16"/>
              </w:rPr>
              <w:t>Ad Soyad / İmza</w:t>
            </w:r>
          </w:p>
        </w:tc>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val="0"/>
                <w:sz w:val="16"/>
              </w:rPr>
              <w:t>Ad Soyad / İmza</w:t>
            </w:r>
          </w:p>
        </w:tc>
      </w:tr>
    </w:tbl>
    <w:sectPr w:rsidR="00FC693F" w:rsidRPr="0006063C" w:rsidSect="00034616">
      <w:pgSz w:w="11906" w:h="16838"/>
      <w:pgMar w:top="652" w:right="680" w:bottom="652"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Title">
    <w:name w:val="PlanTitle"/>
    <w:pPr>
      <w:spacing w:before="0" w:after="40"/>
    </w:pPr>
    <w:rPr>
      <w:rFonts w:ascii="Arial" w:hAnsi="Arial" w:eastAsia="Arial"/>
      <w:b/>
      <w:sz w:val="24"/>
    </w:rPr>
  </w:style>
  <w:style w:type="paragraph" w:customStyle="1" w:styleId="SectionHead">
    <w:name w:val="SectionHead"/>
    <w:pPr>
      <w:spacing w:before="60" w:after="40"/>
    </w:pPr>
    <w:rPr>
      <w:rFonts w:ascii="Arial" w:hAnsi="Arial" w:eastAsia="Arial"/>
      <w: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Sınıf BTY Günlük Ders Planı - 1. Hafta</dc:title>
  <dc:subject>2026-2027 / BTY.5.1.1</dc:subject>
  <dc:creator/>
  <cp:keywords/>
  <dc:description>TYMM 5. sınıf BTY öğretim programı ve 2026-2027 haftalık takvim verileri esas alınarak hazırlanmıştır.</dc:description>
  <cp:lastModifiedBy/>
  <cp:revision>1</cp:revision>
  <dcterms:created xsi:type="dcterms:W3CDTF">2013-12-23T23:15:00Z</dcterms:created>
  <dcterms:modified xsi:type="dcterms:W3CDTF">2013-12-23T23:15:00Z</dcterms:modified>
  <cp:category/>
</cp:coreProperties>
</file>