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8C1DDC" w:rsidRPr="006F5CB1">
        <w:rPr>
          <w:rFonts w:cs="Times New Roman"/>
          <w:szCs w:val="24"/>
          <w:lang w:val="en-US"/>
        </w:rPr>
        <w:t xml:space="preserve"> It goes without saying,  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the 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applciation, focusing on possibility of expense information recognition from Estonian receipts as well as usability and secu</w:t>
      </w:r>
      <w:r w:rsidR="004D5ABB" w:rsidRPr="006F5CB1">
        <w:rPr>
          <w:rFonts w:cs="Times New Roman"/>
          <w:szCs w:val="24"/>
          <w:lang w:val="en-US"/>
        </w:rPr>
        <w:t xml:space="preserve">rity aspects of the applicaiton.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 xml:space="preserve">lopment of this applciation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20579F" w:rsidRPr="006F5CB1" w:rsidRDefault="001F7E01">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Reliability evaluation of the application’s function of expense information recognition from the aspect of  Tesseract for OCR and OpenCV for image preprocessing</w:t>
      </w:r>
      <w:r w:rsidR="004D5ABB" w:rsidRPr="006F5CB1">
        <w:rPr>
          <w:rFonts w:cs="Times New Roman"/>
          <w:szCs w:val="24"/>
          <w:lang w:val="en-US"/>
        </w:rPr>
        <w:t xml:space="preserve"> usage</w:t>
      </w:r>
      <w:r w:rsidRPr="006F5CB1">
        <w:rPr>
          <w:rFonts w:cs="Times New Roman"/>
          <w:szCs w:val="24"/>
          <w:lang w:val="en-US"/>
        </w:rPr>
        <w:t>.</w:t>
      </w:r>
    </w:p>
    <w:p w:rsidR="00655657" w:rsidRPr="006F5CB1" w:rsidRDefault="00655657" w:rsidP="00655657">
      <w:pPr>
        <w:spacing w:line="360" w:lineRule="auto"/>
        <w:rPr>
          <w:rFonts w:cs="Times New Roman"/>
          <w:szCs w:val="24"/>
          <w:lang w:val="en-US"/>
        </w:rPr>
      </w:pP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 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to take picture of a receipt, recognize total sum of the purchase and the company the purchase was 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FE2B01" w:rsidRPr="006F5CB1" w:rsidRDefault="002D434B" w:rsidP="002D434B">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ListParagraph"/>
        <w:numPr>
          <w:ilvl w:val="0"/>
          <w:numId w:val="8"/>
        </w:numPr>
        <w:spacing w:line="360" w:lineRule="auto"/>
        <w:rPr>
          <w:rFonts w:cs="Times New Roman"/>
          <w:szCs w:val="24"/>
          <w:lang w:val="en-US"/>
        </w:rPr>
      </w:pPr>
      <w:r w:rsidRPr="006F5CB1">
        <w:rPr>
          <w:rFonts w:cs="Times New Roman"/>
          <w:szCs w:val="24"/>
          <w:lang w:val="en-US"/>
        </w:rPr>
        <w:t>Graphics? (to be implemented)</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serice of the e-business register. Both service and client are also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873017" w:rsidP="00873017">
      <w:pPr>
        <w:spacing w:line="360" w:lineRule="auto"/>
        <w:rPr>
          <w:rFonts w:cs="Times New Roman"/>
          <w:szCs w:val="24"/>
          <w:lang w:val="en-US"/>
        </w:rPr>
      </w:pPr>
      <w:r w:rsidRPr="006F5CB1">
        <w:rPr>
          <w:rFonts w:cs="Times New Roman"/>
          <w:szCs w:val="24"/>
          <w:lang w:val="en-US"/>
        </w:rPr>
        <w:t>//to do: add when is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3A2D70">
        <w:rPr>
          <w:lang w:val="en-US"/>
        </w:rPr>
        <w:t>optical charecter recogniton</w:t>
      </w:r>
    </w:p>
    <w:p w:rsidR="00957E52" w:rsidRPr="006F5CB1" w:rsidRDefault="00BB034B" w:rsidP="00BB034B">
      <w:pPr>
        <w:spacing w:line="360" w:lineRule="auto"/>
        <w:rPr>
          <w:rFonts w:cs="Times New Roman"/>
          <w:szCs w:val="24"/>
          <w:lang w:val="en-US"/>
        </w:rPr>
      </w:pPr>
      <w:r w:rsidRPr="006F5CB1">
        <w:rPr>
          <w:rFonts w:cs="Times New Roman"/>
          <w:szCs w:val="24"/>
          <w:lang w:val="en-US"/>
        </w:rPr>
        <w:t xml:space="preserve">In the author’s mobile application, the picture of receipt used for further exepnse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932E8D" w:rsidRPr="006F5CB1">
        <w:rPr>
          <w:rFonts w:cs="Times New Roman"/>
          <w:szCs w:val="24"/>
          <w:lang w:val="en-US"/>
        </w:rPr>
        <w:t>perform successful optical charecter recogniton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FD3895" w:rsidRPr="006F5CB1">
        <w:rPr>
          <w:rFonts w:cs="Times New Roman"/>
          <w:szCs w:val="24"/>
          <w:lang w:val="en-US"/>
        </w:rPr>
        <w:t>with thremal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957E52" w:rsidRPr="006F5CB1">
        <w:rPr>
          <w:rFonts w:cs="Times New Roman"/>
          <w:szCs w:val="24"/>
          <w:lang w:val="en-US"/>
        </w:rPr>
        <w:t>inted receipts is that the charec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932E8D" w:rsidRPr="006F5CB1">
        <w:rPr>
          <w:rFonts w:cs="Times New Roman"/>
          <w:szCs w:val="24"/>
          <w:lang w:val="en-US"/>
        </w:rPr>
        <w:t>to enchance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Pr="006F5CB1">
        <w:rPr>
          <w:rFonts w:cs="Times New Roman"/>
          <w:szCs w:val="24"/>
          <w:lang w:val="en-US"/>
        </w:rPr>
        <w:t xml:space="preserve"> order to enchance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C543C0" w:rsidRPr="006F5CB1">
        <w:rPr>
          <w:rFonts w:cs="Times New Roman"/>
          <w:szCs w:val="24"/>
          <w:lang w:val="en-US"/>
        </w:rPr>
        <w:t xml:space="preserve"> acqusition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lastRenderedPageBreak/>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 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C5017D">
        <w:rPr>
          <w:lang w:val="en-US"/>
        </w:rPr>
        <w:t xml:space="preserve"> the OCR engine tend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20532D" w:rsidP="00C5017D">
      <w:pPr>
        <w:spacing w:line="360" w:lineRule="auto"/>
        <w:rPr>
          <w:sz w:val="16"/>
          <w:szCs w:val="16"/>
          <w:lang w:val="en-US"/>
        </w:rPr>
      </w:pPr>
      <w:hyperlink r:id="rId21" w:history="1">
        <w:r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threshold value, then</w:t>
      </w:r>
      <w:r w:rsidR="00E97BB0">
        <w:rPr>
          <w:lang w:val="en-US"/>
        </w:rPr>
        <w:t xml:space="preserve"> the pixel</w:t>
      </w:r>
      <w:r>
        <w:rPr>
          <w:lang w:val="en-US"/>
        </w:rPr>
        <w:t xml:space="preserve"> is assigned the minum value</w:t>
      </w:r>
      <w:r w:rsidR="00E97BB0">
        <w:rPr>
          <w:lang w:val="en-US"/>
        </w:rPr>
        <w:t xml:space="preserve"> (e.g. black)</w:t>
      </w:r>
      <w:r>
        <w:rPr>
          <w:lang w:val="en-US"/>
        </w:rPr>
        <w:t>, otherwise the maximum value is assigned to the pixel</w:t>
      </w:r>
      <w:r w:rsidR="00E97BB0">
        <w:rPr>
          <w:lang w:val="en-US"/>
        </w:rPr>
        <w:t xml:space="preserve"> (e.g white)</w:t>
      </w:r>
      <w:r>
        <w:rPr>
          <w:lang w:val="en-US"/>
        </w:rPr>
        <w:t xml:space="preserve">. </w:t>
      </w:r>
    </w:p>
    <w:p w:rsidR="00022027" w:rsidRDefault="004C696A" w:rsidP="00916465">
      <w:pPr>
        <w:spacing w:line="360" w:lineRule="auto"/>
        <w:rPr>
          <w:lang w:val="en-US"/>
        </w:rPr>
      </w:pPr>
      <w:r>
        <w:rPr>
          <w:lang w:val="en-US"/>
        </w:rPr>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w:t>
      </w:r>
      <w:r w:rsidR="00E97BB0">
        <w:rPr>
          <w:lang w:val="en-US"/>
        </w:rPr>
        <w:lastRenderedPageBreak/>
        <w:t xml:space="preserve">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illumination. The stage of threshholding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17C3D" w:rsidP="00022027">
      <w:pPr>
        <w:spacing w:line="360" w:lineRule="auto"/>
      </w:pPr>
      <w:r>
        <w:rPr>
          <w:lang w:val="en-US"/>
        </w:rPr>
        <w:t xml:space="preserve">Optical charecter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1229FF">
        <w:rPr>
          <w:lang w:val="en-US"/>
        </w:rPr>
        <w:t xml:space="preserve"> etc.). The absence or presence of exact features are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with a set of training data input.</w:t>
      </w:r>
      <w:r w:rsidR="00E75973">
        <w:t xml:space="preserve"> //todo add</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w:t>
        </w:r>
        <w:r w:rsidR="001229FF" w:rsidRPr="00A80D8D">
          <w:rPr>
            <w:rStyle w:val="Hyperlink"/>
            <w:sz w:val="16"/>
            <w:szCs w:val="16"/>
          </w:rPr>
          <w:t>4</w:t>
        </w:r>
        <w:r w:rsidR="001229FF" w:rsidRPr="00A80D8D">
          <w:rPr>
            <w:rStyle w:val="Hyperlink"/>
            <w:sz w:val="16"/>
            <w:szCs w:val="16"/>
          </w:rPr>
          <w:t>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957E52" w:rsidRPr="006F5CB1" w:rsidRDefault="00957E52"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33263A" w:rsidP="0033263A">
      <w:pPr>
        <w:pStyle w:val="Heading1"/>
        <w:rPr>
          <w:lang w:val="en-US"/>
        </w:rPr>
      </w:pPr>
      <w:r>
        <w:rPr>
          <w:lang w:val="en-US"/>
        </w:rPr>
        <w:lastRenderedPageBreak/>
        <w:t>Implementation</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server side and thus </w:t>
      </w:r>
      <w:r w:rsidR="00F85C7F">
        <w:rPr>
          <w:lang w:val="en-US"/>
        </w:rPr>
        <w:t>its is to</w:t>
      </w:r>
      <w:r w:rsidRPr="00270C67">
        <w:rPr>
          <w:lang w:val="en-US"/>
        </w:rPr>
        <w:t xml:space="preserve"> </w:t>
      </w:r>
      <w:r w:rsidRPr="00270C67">
        <w:rPr>
          <w:lang w:val="en-US"/>
        </w:rPr>
        <w:t>possibil</w:t>
      </w:r>
      <w:r w:rsidR="00F85C7F">
        <w:rPr>
          <w:lang w:val="en-US"/>
        </w:rPr>
        <w:t>e</w:t>
      </w:r>
      <w:r w:rsidRPr="00270C67">
        <w:rPr>
          <w:lang w:val="en-US"/>
        </w:rPr>
        <w:t xml:space="preserve"> to avoid additional complexity in the development process. There w</w:t>
      </w:r>
      <w:r w:rsidRPr="00270C67">
        <w:rPr>
          <w:lang w:val="en-US"/>
        </w:rPr>
        <w:t>ill be no need to design server-</w:t>
      </w:r>
      <w:r w:rsidRPr="00270C67">
        <w:rPr>
          <w:lang w:val="en-US"/>
        </w:rPr>
        <w:t>based authentication</w:t>
      </w:r>
      <w:r w:rsidRPr="00270C67">
        <w:rPr>
          <w:lang w:val="en-US"/>
        </w:rPr>
        <w:t xml:space="preserve"> mechanism</w:t>
      </w:r>
      <w:r w:rsidRPr="00270C67">
        <w:rPr>
          <w:lang w:val="en-US"/>
        </w:rPr>
        <w:t xml:space="preserve">, session </w:t>
      </w:r>
      <w:r w:rsidRPr="00270C67">
        <w:rPr>
          <w:lang w:val="en-US"/>
        </w:rPr>
        <w:t xml:space="preserve">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Default="00FE089A" w:rsidP="00FE089A">
      <w:pPr>
        <w:spacing w:line="360" w:lineRule="auto"/>
        <w:ind w:left="708"/>
        <w:rPr>
          <w:lang w:val="en-US"/>
        </w:rPr>
      </w:pPr>
      <w:r>
        <w:rPr>
          <w:lang w:val="en-US"/>
        </w:rPr>
        <w:t>Cons of this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user would have to manually duplicate the expense entries, which is very inconvenient.</w:t>
      </w:r>
      <w:r w:rsidR="00E5713A">
        <w:rPr>
          <w:lang w:val="en-US"/>
        </w:rPr>
        <w:t xml:space="preserve"> </w:t>
      </w:r>
    </w:p>
    <w:p w:rsidR="00052274" w:rsidRPr="00270C67" w:rsidRDefault="00E5713A" w:rsidP="00270C67">
      <w:pPr>
        <w:pStyle w:val="ListParagraph"/>
        <w:numPr>
          <w:ilvl w:val="0"/>
          <w:numId w:val="15"/>
        </w:numPr>
        <w:spacing w:line="360" w:lineRule="auto"/>
        <w:rPr>
          <w:lang w:val="en-US"/>
        </w:rPr>
      </w:pPr>
      <w:r>
        <w:rPr>
          <w:lang w:val="en-US"/>
        </w:rPr>
        <w:t>I</w:t>
      </w:r>
      <w:r w:rsidR="00052274" w:rsidRPr="00270C67">
        <w:rPr>
          <w:lang w:val="en-US"/>
        </w:rPr>
        <w:t xml:space="preserve">f, for example, the device storing all the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77199E">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793747">
        <w:rPr>
          <w:lang w:val="en-US"/>
        </w:rPr>
        <w:t xml:space="preserve">authors estimations, up to 60 mb). </w:t>
      </w:r>
      <w:r w:rsidR="00793747" w:rsidRPr="00793747">
        <w:rPr>
          <w:lang w:val="en-US"/>
        </w:rPr>
        <w:t>Large application size may prevent users from downloading and installing it.</w:t>
      </w:r>
      <w:r w:rsidR="00270C67">
        <w:rPr>
          <w:lang w:val="en-US"/>
        </w:rPr>
        <w:t xml:space="preserve"> </w:t>
      </w:r>
    </w:p>
    <w:p w:rsidR="005C09B1" w:rsidRPr="00793747" w:rsidRDefault="00C74384" w:rsidP="0077199E">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occur problems, as there is no guarantee that the libraries used in Android can be easily integrated into the application for other platforms</w:t>
      </w:r>
      <w:r w:rsidR="00270C67">
        <w:rPr>
          <w:lang w:val="en-US"/>
        </w:rPr>
        <w:t xml:space="preserve"> in the same way</w:t>
      </w:r>
      <w:r w:rsidR="00793747">
        <w:rPr>
          <w:lang w:val="en-US"/>
        </w:rPr>
        <w:t xml:space="preserve">. </w:t>
      </w: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business logic. The process of image preprocessing before OCR, OCR and expense information extraction from OCR result would be still performed on the client side, while the server would be used for storing and retrieving expense information</w:t>
      </w:r>
      <w:r w:rsidR="00270C67">
        <w:rPr>
          <w:lang w:val="en-US"/>
        </w:rPr>
        <w:t>.</w:t>
      </w:r>
    </w:p>
    <w:p w:rsidR="00270C67" w:rsidRDefault="00270C67" w:rsidP="00270C67">
      <w:pPr>
        <w:pStyle w:val="ListParagraph"/>
        <w:spacing w:line="360" w:lineRule="auto"/>
        <w:rPr>
          <w:lang w:val="en-US"/>
        </w:rPr>
      </w:pPr>
      <w:r>
        <w:rPr>
          <w:lang w:val="en-US"/>
        </w:rPr>
        <w:t>Pros of this solution:</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in case of the previous solution.</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side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Such kind of approach acts in favour of descreasing</w:t>
      </w:r>
      <w:r w:rsidR="001F51A7">
        <w:rPr>
          <w:lang w:val="en-US"/>
        </w:rPr>
        <w:t xml:space="preserve"> of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p>
    <w:p w:rsidR="001F51A7" w:rsidRPr="001F51A7" w:rsidRDefault="001F51A7" w:rsidP="001F51A7">
      <w:pPr>
        <w:spacing w:line="360" w:lineRule="auto"/>
        <w:rPr>
          <w:lang w:val="en-US"/>
        </w:rPr>
      </w:pPr>
      <w:r>
        <w:rPr>
          <w:lang w:val="en-US"/>
        </w:rPr>
        <w:tab/>
        <w:t>Cons of this solution: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F85C7F" w:rsidRDefault="00F85C7F" w:rsidP="00F85C7F">
      <w:pPr>
        <w:pStyle w:val="ListParagraph"/>
        <w:spacing w:line="360" w:lineRule="auto"/>
        <w:rPr>
          <w:rFonts w:cs="Times New Roman"/>
          <w:szCs w:val="24"/>
          <w:lang w:val="en-US"/>
        </w:rPr>
      </w:pPr>
    </w:p>
    <w:p w:rsidR="00F85C7F" w:rsidRPr="00DB5E2E" w:rsidRDefault="00F85C7F" w:rsidP="00F85C7F">
      <w:pPr>
        <w:pStyle w:val="ListParagraph"/>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566CE1" w:rsidP="00BB034B">
      <w:pPr>
        <w:spacing w:line="360" w:lineRule="auto"/>
        <w:rPr>
          <w:rFonts w:cs="Times New Roman"/>
          <w:szCs w:val="24"/>
          <w:lang w:val="en-US"/>
        </w:rPr>
      </w:pPr>
      <w:bookmarkStart w:id="0" w:name="_GoBack"/>
      <w:bookmarkEnd w:id="0"/>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Pr="006F5CB1" w:rsidRDefault="005C09B1" w:rsidP="005C09B1">
      <w:pPr>
        <w:spacing w:line="360" w:lineRule="auto"/>
        <w:rPr>
          <w:rFonts w:cs="Times New Roman"/>
          <w:szCs w:val="24"/>
          <w:lang w:val="en-US"/>
        </w:rPr>
      </w:pPr>
      <w:hyperlink r:id="rId23" w:history="1">
        <w:r w:rsidRPr="006F5CB1">
          <w:rPr>
            <w:rStyle w:val="Hyperlink"/>
            <w:rFonts w:cs="Times New Roman"/>
            <w:szCs w:val="24"/>
            <w:lang w:val="en-US"/>
          </w:rPr>
          <w:t>http://cdn.intechopen.</w:t>
        </w:r>
        <w:r w:rsidRPr="006F5CB1">
          <w:rPr>
            <w:rStyle w:val="Hyperlink"/>
            <w:rFonts w:cs="Times New Roman"/>
            <w:szCs w:val="24"/>
            <w:lang w:val="en-US"/>
          </w:rPr>
          <w:t>c</w:t>
        </w:r>
        <w:r w:rsidRPr="006F5CB1">
          <w:rPr>
            <w:rStyle w:val="Hyperlink"/>
            <w:rFonts w:cs="Times New Roman"/>
            <w:szCs w:val="24"/>
            <w:lang w:val="en-US"/>
          </w:rPr>
          <w:t>om/pdfs-wm/11405.pdf</w:t>
        </w:r>
      </w:hyperlink>
    </w:p>
    <w:p w:rsidR="005C09B1" w:rsidRPr="006F5CB1" w:rsidRDefault="005C09B1" w:rsidP="005C09B1">
      <w:pPr>
        <w:spacing w:line="360" w:lineRule="auto"/>
        <w:rPr>
          <w:rFonts w:cs="Times New Roman"/>
          <w:szCs w:val="24"/>
          <w:lang w:val="en-US"/>
        </w:rPr>
      </w:pPr>
      <w:hyperlink r:id="rId24" w:history="1">
        <w:r w:rsidRPr="006F5CB1">
          <w:rPr>
            <w:rStyle w:val="Hyperlink"/>
            <w:rFonts w:cs="Times New Roman"/>
            <w:szCs w:val="24"/>
            <w:lang w:val="en-US"/>
          </w:rPr>
          <w:t>http://static.googleusercontent.com/media/res</w:t>
        </w:r>
        <w:r w:rsidRPr="006F5CB1">
          <w:rPr>
            <w:rStyle w:val="Hyperlink"/>
            <w:rFonts w:cs="Times New Roman"/>
            <w:szCs w:val="24"/>
            <w:lang w:val="en-US"/>
          </w:rPr>
          <w:t>e</w:t>
        </w:r>
        <w:r w:rsidRPr="006F5CB1">
          <w:rPr>
            <w:rStyle w:val="Hyperlink"/>
            <w:rFonts w:cs="Times New Roman"/>
            <w:szCs w:val="24"/>
            <w:lang w:val="en-US"/>
          </w:rPr>
          <w:t>arch.google.com/en//pubs/archive/33418.pdf</w:t>
        </w:r>
      </w:hyperlink>
    </w:p>
    <w:p w:rsidR="005C09B1" w:rsidRPr="006F5CB1" w:rsidRDefault="005C09B1" w:rsidP="005C09B1">
      <w:pPr>
        <w:spacing w:line="360" w:lineRule="auto"/>
        <w:rPr>
          <w:rFonts w:cs="Times New Roman"/>
          <w:szCs w:val="24"/>
          <w:lang w:val="en-US"/>
        </w:rPr>
      </w:pPr>
      <w:r w:rsidRPr="006F5CB1">
        <w:rPr>
          <w:rFonts w:cs="Times New Roman"/>
          <w:szCs w:val="24"/>
          <w:lang w:val="en-US"/>
        </w:rPr>
        <w:t>http://www.ipol.im/pub/art/2011/bcm_nlm/</w:t>
      </w:r>
    </w:p>
    <w:p w:rsidR="005C09B1" w:rsidRPr="006F5CB1" w:rsidRDefault="005C09B1" w:rsidP="00BB034B">
      <w:pPr>
        <w:spacing w:line="360" w:lineRule="auto"/>
        <w:rPr>
          <w:rFonts w:cs="Times New Roman"/>
          <w:szCs w:val="24"/>
          <w:lang w:val="en-US"/>
        </w:rPr>
      </w:pPr>
    </w:p>
    <w:sectPr w:rsidR="005C09B1"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D4F" w:rsidRDefault="00351D4F" w:rsidP="00476AAA">
      <w:pPr>
        <w:spacing w:after="0" w:line="240" w:lineRule="auto"/>
      </w:pPr>
      <w:r>
        <w:separator/>
      </w:r>
    </w:p>
  </w:endnote>
  <w:endnote w:type="continuationSeparator" w:id="0">
    <w:p w:rsidR="00351D4F" w:rsidRDefault="00351D4F"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D4F" w:rsidRDefault="00351D4F" w:rsidP="00476AAA">
      <w:pPr>
        <w:spacing w:after="0" w:line="240" w:lineRule="auto"/>
      </w:pPr>
      <w:r>
        <w:separator/>
      </w:r>
    </w:p>
  </w:footnote>
  <w:footnote w:type="continuationSeparator" w:id="0">
    <w:p w:rsidR="00351D4F" w:rsidRDefault="00351D4F"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5">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6">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34015966"/>
    <w:multiLevelType w:val="hybridMultilevel"/>
    <w:tmpl w:val="DD4A1A0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9">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0">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4">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6"/>
  </w:num>
  <w:num w:numId="2">
    <w:abstractNumId w:val="3"/>
  </w:num>
  <w:num w:numId="3">
    <w:abstractNumId w:val="15"/>
  </w:num>
  <w:num w:numId="4">
    <w:abstractNumId w:val="12"/>
  </w:num>
  <w:num w:numId="5">
    <w:abstractNumId w:val="10"/>
  </w:num>
  <w:num w:numId="6">
    <w:abstractNumId w:val="11"/>
  </w:num>
  <w:num w:numId="7">
    <w:abstractNumId w:val="14"/>
  </w:num>
  <w:num w:numId="8">
    <w:abstractNumId w:val="2"/>
  </w:num>
  <w:num w:numId="9">
    <w:abstractNumId w:val="0"/>
  </w:num>
  <w:num w:numId="10">
    <w:abstractNumId w:val="6"/>
  </w:num>
  <w:num w:numId="11">
    <w:abstractNumId w:val="7"/>
  </w:num>
  <w:num w:numId="12">
    <w:abstractNumId w:val="1"/>
  </w:num>
  <w:num w:numId="13">
    <w:abstractNumId w:val="4"/>
  </w:num>
  <w:num w:numId="14">
    <w:abstractNumId w:val="13"/>
  </w:num>
  <w:num w:numId="15">
    <w:abstractNumId w:val="9"/>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4"/>
    <w:rsid w:val="00022027"/>
    <w:rsid w:val="00052274"/>
    <w:rsid w:val="0009505B"/>
    <w:rsid w:val="000A7639"/>
    <w:rsid w:val="000C7DC3"/>
    <w:rsid w:val="000E3837"/>
    <w:rsid w:val="000F1BC5"/>
    <w:rsid w:val="001229FF"/>
    <w:rsid w:val="00137C25"/>
    <w:rsid w:val="001F51A7"/>
    <w:rsid w:val="001F6C73"/>
    <w:rsid w:val="001F7E01"/>
    <w:rsid w:val="0020532D"/>
    <w:rsid w:val="0020579F"/>
    <w:rsid w:val="00222D5D"/>
    <w:rsid w:val="00223526"/>
    <w:rsid w:val="0025044F"/>
    <w:rsid w:val="00270C67"/>
    <w:rsid w:val="002C5AFD"/>
    <w:rsid w:val="002D0447"/>
    <w:rsid w:val="002D434B"/>
    <w:rsid w:val="002D6FF4"/>
    <w:rsid w:val="0033263A"/>
    <w:rsid w:val="00351D4F"/>
    <w:rsid w:val="003532ED"/>
    <w:rsid w:val="00376AF9"/>
    <w:rsid w:val="00377656"/>
    <w:rsid w:val="00383962"/>
    <w:rsid w:val="003A2D70"/>
    <w:rsid w:val="003E0485"/>
    <w:rsid w:val="003F7922"/>
    <w:rsid w:val="004305DB"/>
    <w:rsid w:val="00453E27"/>
    <w:rsid w:val="00476AAA"/>
    <w:rsid w:val="004776D2"/>
    <w:rsid w:val="004B374C"/>
    <w:rsid w:val="004C696A"/>
    <w:rsid w:val="004D3EBE"/>
    <w:rsid w:val="004D5ABB"/>
    <w:rsid w:val="004E07CC"/>
    <w:rsid w:val="004E6A4D"/>
    <w:rsid w:val="00525BA8"/>
    <w:rsid w:val="00535845"/>
    <w:rsid w:val="00566CE1"/>
    <w:rsid w:val="005A0E08"/>
    <w:rsid w:val="005A1C61"/>
    <w:rsid w:val="005B5F43"/>
    <w:rsid w:val="005C09B1"/>
    <w:rsid w:val="006109F0"/>
    <w:rsid w:val="00631A44"/>
    <w:rsid w:val="00643E8B"/>
    <w:rsid w:val="00655657"/>
    <w:rsid w:val="00681E0A"/>
    <w:rsid w:val="006D1A65"/>
    <w:rsid w:val="006E4634"/>
    <w:rsid w:val="006F4DA4"/>
    <w:rsid w:val="006F5CB1"/>
    <w:rsid w:val="007367D1"/>
    <w:rsid w:val="00772C38"/>
    <w:rsid w:val="00793747"/>
    <w:rsid w:val="007A457C"/>
    <w:rsid w:val="007C7B59"/>
    <w:rsid w:val="00873017"/>
    <w:rsid w:val="008C1DDC"/>
    <w:rsid w:val="008E0A6F"/>
    <w:rsid w:val="00910079"/>
    <w:rsid w:val="00916465"/>
    <w:rsid w:val="00932E8D"/>
    <w:rsid w:val="009462D0"/>
    <w:rsid w:val="00957E52"/>
    <w:rsid w:val="00996894"/>
    <w:rsid w:val="00997A29"/>
    <w:rsid w:val="00A17C3D"/>
    <w:rsid w:val="00A33144"/>
    <w:rsid w:val="00A96B1D"/>
    <w:rsid w:val="00AD6F15"/>
    <w:rsid w:val="00AF246C"/>
    <w:rsid w:val="00B078B3"/>
    <w:rsid w:val="00B10AD1"/>
    <w:rsid w:val="00B3733A"/>
    <w:rsid w:val="00B711AD"/>
    <w:rsid w:val="00BB034B"/>
    <w:rsid w:val="00BC507C"/>
    <w:rsid w:val="00BC553B"/>
    <w:rsid w:val="00BE4425"/>
    <w:rsid w:val="00BF6FE4"/>
    <w:rsid w:val="00C5017D"/>
    <w:rsid w:val="00C543C0"/>
    <w:rsid w:val="00C74384"/>
    <w:rsid w:val="00C91E1E"/>
    <w:rsid w:val="00CA3A82"/>
    <w:rsid w:val="00CC5E35"/>
    <w:rsid w:val="00D11C9E"/>
    <w:rsid w:val="00D14237"/>
    <w:rsid w:val="00D252F3"/>
    <w:rsid w:val="00D44AE4"/>
    <w:rsid w:val="00D923FE"/>
    <w:rsid w:val="00DB5E2E"/>
    <w:rsid w:val="00E476A0"/>
    <w:rsid w:val="00E5713A"/>
    <w:rsid w:val="00E619F0"/>
    <w:rsid w:val="00E75973"/>
    <w:rsid w:val="00E97BB0"/>
    <w:rsid w:val="00EB73D2"/>
    <w:rsid w:val="00EE19D1"/>
    <w:rsid w:val="00F45AAF"/>
    <w:rsid w:val="00F757BA"/>
    <w:rsid w:val="00F85C7F"/>
    <w:rsid w:val="00F92437"/>
    <w:rsid w:val="00FB0050"/>
    <w:rsid w:val="00FB0167"/>
    <w:rsid w:val="00FC5478"/>
    <w:rsid w:val="00FD2E5B"/>
    <w:rsid w:val="00FD3895"/>
    <w:rsid w:val="00FE089A"/>
    <w:rsid w:val="00FE2B0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DE0F-A0AE-40A7-BBD1-043CAEA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C7DC3"/>
    <w:pPr>
      <w:keepNext/>
      <w:keepLines/>
      <w:numPr>
        <w:ilvl w:val="1"/>
        <w:numId w:val="6"/>
      </w:numPr>
      <w:spacing w:before="24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C7DC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C7D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C7DC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tatic.googleusercontent.com/media/research.google.com/en//pubs/archive/33418.pdf" TargetMode="Externa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cdn.intechopen.com/pdfs-wm/11405.pdf"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FA14-6182-46AE-959D-17784D6E9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8</Pages>
  <Words>2312</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11</cp:revision>
  <dcterms:created xsi:type="dcterms:W3CDTF">2015-04-29T12:12:00Z</dcterms:created>
  <dcterms:modified xsi:type="dcterms:W3CDTF">2015-05-02T21:48:00Z</dcterms:modified>
</cp:coreProperties>
</file>