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female/LGBTQ+ founder, the first producer of basketball shoes made by women specifically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India, 2023 (invited). Also at Agile Hartford,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Citizens internal keynote, 2022 (invited); Agile 2021 Minimum Viable Conference,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Also at Boston Area Women In Agile, 2020 (invited); Heart of England Scrum User Group,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(invited); Venture Cafe, 2020 (invited); AgileCamp SF, 2019; Agile New England, 2019.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2023 (invited).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India, 2021 (invited); Scrum Masters of the Universe, 2022; Agile RI, 2021; Agile Arizona, 2021;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Austin, 2021; Comparative Agility Meetup, 2021; Craft 2021; Agile Hartford, 2020; Agile RTP,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Venture Cafe, 2020; Agile 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