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1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694" w:firstLine="0"/>
        <w:jc w:val="both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led the software dev team for one of the world’s largest social identity systems, coached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teams around the world, and was the founder and leader of Nokia’s Boston-area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3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9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provides lactation counseling for new mothers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6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6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2" w:after="13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hyperlink r:id="rId23" w:history="1">
                <w:r>
                  <w:rPr>
                    <w:rStyle w:val="Hyperlink"/>
                  </w:rPr>
                  <w:t>Manifesto for Online Collaboration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, with Matt Barnaby, Barb Bickford, et al, 2022.</w:t>
            </w:r>
          </w:p>
        </w:tc>
      </w:tr>
    </w:tbl>
    <w:p>
      <w:pPr>
        <w:autoSpaceDN w:val="0"/>
        <w:tabs>
          <w:tab w:pos="346" w:val="left"/>
        </w:tabs>
        <w:autoSpaceDE w:val="0"/>
        <w:widowControl/>
        <w:spacing w:line="300" w:lineRule="auto" w:before="11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81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6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8" w:history="1">
          <w:r>
            <w:rPr>
              <w:rStyle w:val="Hyperlink"/>
            </w:rPr>
            <w:t>Manifesto for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2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334" w:lineRule="auto" w:before="190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The Job Hackers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Meetup,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Analyst Innovation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Practitioners Online,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Miroverse Event,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0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PianoPlay.app/" TargetMode="External"/><Relationship Id="rId18" Type="http://schemas.openxmlformats.org/officeDocument/2006/relationships/hyperlink" Target="https://VaccinateAll.org" TargetMode="External"/><Relationship Id="rId19" Type="http://schemas.openxmlformats.org/officeDocument/2006/relationships/hyperlink" Target="https://github.com/rkasper/cv-creator" TargetMode="External"/><Relationship Id="rId20" Type="http://schemas.openxmlformats.org/officeDocument/2006/relationships/hyperlink" Target="https://simplifed.us" TargetMode="External"/><Relationship Id="rId21" Type="http://schemas.openxmlformats.org/officeDocument/2006/relationships/hyperlink" Target="https://moolahkicks.com" TargetMode="External"/><Relationship Id="rId22" Type="http://schemas.openxmlformats.org/officeDocument/2006/relationships/hyperlink" Target="https://five.me" TargetMode="External"/><Relationship Id="rId23" Type="http://schemas.openxmlformats.org/officeDocument/2006/relationships/hyperlink" Target="https://onlinecollaborationmanifesto.com" TargetMode="External"/><Relationship Id="rId24" Type="http://schemas.openxmlformats.org/officeDocument/2006/relationships/hyperlink" Target="https://kasperowski.com/podcast/" TargetMode="External"/><Relationship Id="rId25" Type="http://schemas.openxmlformats.org/officeDocument/2006/relationships/hyperlink" Target="https://kasperowski.com/blog/" TargetMode="External"/><Relationship Id="rId26" Type="http://schemas.openxmlformats.org/officeDocument/2006/relationships/hyperlink" Target="https://kasperowski.com/diagnostic/" TargetMode="External"/><Relationship Id="rId27" Type="http://schemas.openxmlformats.org/officeDocument/2006/relationships/hyperlink" Target="https://kasperowski.com/agile-scrum-foundations-class-workbook/" TargetMode="External"/><Relationship Id="rId28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