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3C9B1C" w14:textId="77777777" w:rsidR="00830C4C" w:rsidRPr="00830C4C" w:rsidRDefault="00830C4C" w:rsidP="00830C4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830C4C">
        <w:rPr>
          <w:rFonts w:ascii="Times New Roman" w:eastAsia="Times New Roman" w:hAnsi="Times New Roman" w:cs="Times New Roman"/>
          <w:b/>
          <w:bCs/>
          <w:color w:val="000000"/>
          <w:kern w:val="36"/>
          <w:sz w:val="48"/>
          <w:szCs w:val="48"/>
          <w14:ligatures w14:val="none"/>
        </w:rPr>
        <w:t>Career Summary</w:t>
      </w:r>
    </w:p>
    <w:p w14:paraId="47174475" w14:textId="77777777" w:rsidR="00830C4C" w:rsidRPr="00830C4C" w:rsidRDefault="00830C4C" w:rsidP="00830C4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30C4C">
        <w:rPr>
          <w:rFonts w:ascii="Times New Roman" w:eastAsia="Times New Roman" w:hAnsi="Times New Roman" w:cs="Times New Roman"/>
          <w:b/>
          <w:bCs/>
          <w:color w:val="000000"/>
          <w:kern w:val="0"/>
          <w:sz w:val="36"/>
          <w:szCs w:val="36"/>
          <w14:ligatures w14:val="none"/>
        </w:rPr>
        <w:t>Kristina Barrier</w:t>
      </w:r>
    </w:p>
    <w:p w14:paraId="62AA1AB0" w14:textId="77777777" w:rsidR="00830C4C" w:rsidRPr="00830C4C" w:rsidRDefault="00830C4C" w:rsidP="00830C4C">
      <w:p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Senior Technology Business Systems Consultant | Business Analyst | Technology Resiliency | Risk Management | Enterprise Payments</w:t>
      </w:r>
    </w:p>
    <w:p w14:paraId="32CECF25" w14:textId="77777777" w:rsidR="00830C4C" w:rsidRPr="00830C4C" w:rsidRDefault="00830C4C" w:rsidP="00830C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30C4C">
        <w:rPr>
          <w:rFonts w:ascii="Times New Roman" w:eastAsia="Times New Roman" w:hAnsi="Times New Roman" w:cs="Times New Roman"/>
          <w:b/>
          <w:bCs/>
          <w:color w:val="000000"/>
          <w:kern w:val="0"/>
          <w:sz w:val="27"/>
          <w:szCs w:val="27"/>
          <w14:ligatures w14:val="none"/>
        </w:rPr>
        <w:t>Professional Summary</w:t>
      </w:r>
    </w:p>
    <w:p w14:paraId="42ED85EC" w14:textId="77777777" w:rsidR="00830C4C" w:rsidRPr="00830C4C" w:rsidRDefault="00830C4C" w:rsidP="00830C4C">
      <w:p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Experienced technology and business professional with more than 17 years of success delivering enterprise solutions within the financial services industry. Proven ability to bridge the gap between business objectives and technical implementation by partnering with stakeholders, technology teams, and executive leadership.</w:t>
      </w:r>
    </w:p>
    <w:p w14:paraId="2D379384" w14:textId="77777777" w:rsidR="00830C4C" w:rsidRPr="00830C4C" w:rsidRDefault="00830C4C" w:rsidP="00830C4C">
      <w:p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Extensive experience leading large-scale initiatives involving business continuity planning, technology resiliency, governance, regulatory compliance, enterprise payments, risk management, and business systems analysis. Recognized for simplifying complex business problems, improving operational processes, and delivering practical solutions that align with organizational goals.</w:t>
      </w:r>
    </w:p>
    <w:p w14:paraId="4822EE31" w14:textId="77777777" w:rsidR="00830C4C" w:rsidRPr="00830C4C" w:rsidRDefault="00830C4C" w:rsidP="00830C4C">
      <w:p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Strong background supporting enterprise banking platforms, payment operations, disaster recovery planning, technology governance, and strategic initiatives within highly regulated environments.</w:t>
      </w:r>
    </w:p>
    <w:p w14:paraId="7F18B353" w14:textId="77777777" w:rsidR="00830C4C" w:rsidRPr="00830C4C" w:rsidRDefault="00830C4C" w:rsidP="00830C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30C4C">
        <w:rPr>
          <w:rFonts w:ascii="Times New Roman" w:eastAsia="Times New Roman" w:hAnsi="Times New Roman" w:cs="Times New Roman"/>
          <w:b/>
          <w:bCs/>
          <w:color w:val="000000"/>
          <w:kern w:val="0"/>
          <w:sz w:val="27"/>
          <w:szCs w:val="27"/>
          <w14:ligatures w14:val="none"/>
        </w:rPr>
        <w:t>Core Competencies</w:t>
      </w:r>
    </w:p>
    <w:p w14:paraId="71A47C13"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Business Systems Analysis</w:t>
      </w:r>
    </w:p>
    <w:p w14:paraId="4E38C795"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Requirements Gathering</w:t>
      </w:r>
    </w:p>
    <w:p w14:paraId="734D8182"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Process Improvement</w:t>
      </w:r>
    </w:p>
    <w:p w14:paraId="7F6E4505"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Technology Resiliency</w:t>
      </w:r>
    </w:p>
    <w:p w14:paraId="445AC721"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Business Continuity Planning</w:t>
      </w:r>
    </w:p>
    <w:p w14:paraId="69960FA2"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Disaster Recovery</w:t>
      </w:r>
    </w:p>
    <w:p w14:paraId="3CE2A11A"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Risk &amp; Controls</w:t>
      </w:r>
    </w:p>
    <w:p w14:paraId="5D4B47D2"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Governance</w:t>
      </w:r>
    </w:p>
    <w:p w14:paraId="2C0F3A47"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Regulatory Compliance</w:t>
      </w:r>
    </w:p>
    <w:p w14:paraId="5F3B7A5A"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Enterprise Payments</w:t>
      </w:r>
    </w:p>
    <w:p w14:paraId="07D1B041"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Treasury Operations</w:t>
      </w:r>
    </w:p>
    <w:p w14:paraId="12637420"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Stakeholder Management</w:t>
      </w:r>
    </w:p>
    <w:p w14:paraId="0C6AA02F"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Executive Reporting</w:t>
      </w:r>
    </w:p>
    <w:p w14:paraId="718FD328"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Agile &amp; Waterfall Delivery</w:t>
      </w:r>
    </w:p>
    <w:p w14:paraId="35A4AC8E" w14:textId="77777777" w:rsidR="00830C4C" w:rsidRPr="00830C4C" w:rsidRDefault="00830C4C" w:rsidP="00830C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0C4C">
        <w:rPr>
          <w:rFonts w:ascii="Times New Roman" w:eastAsia="Times New Roman" w:hAnsi="Times New Roman" w:cs="Times New Roman"/>
          <w:color w:val="000000"/>
          <w:kern w:val="0"/>
          <w14:ligatures w14:val="none"/>
        </w:rPr>
        <w:t>Cross-Functional Leadership</w:t>
      </w:r>
    </w:p>
    <w:p w14:paraId="00EE8854" w14:textId="77777777" w:rsidR="00830C4C" w:rsidRDefault="00830C4C"/>
    <w:sectPr w:rsidR="00830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5007C6"/>
    <w:multiLevelType w:val="multilevel"/>
    <w:tmpl w:val="C44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8842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4C"/>
    <w:rsid w:val="0053701E"/>
    <w:rsid w:val="00830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839E"/>
  <w15:chartTrackingRefBased/>
  <w15:docId w15:val="{99C60BCD-6F8B-ED40-99B9-00AF726C3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C4C"/>
    <w:rPr>
      <w:rFonts w:eastAsiaTheme="majorEastAsia" w:cstheme="majorBidi"/>
      <w:color w:val="272727" w:themeColor="text1" w:themeTint="D8"/>
    </w:rPr>
  </w:style>
  <w:style w:type="paragraph" w:styleId="Title">
    <w:name w:val="Title"/>
    <w:basedOn w:val="Normal"/>
    <w:next w:val="Normal"/>
    <w:link w:val="TitleChar"/>
    <w:uiPriority w:val="10"/>
    <w:qFormat/>
    <w:rsid w:val="00830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C4C"/>
    <w:pPr>
      <w:spacing w:before="160"/>
      <w:jc w:val="center"/>
    </w:pPr>
    <w:rPr>
      <w:i/>
      <w:iCs/>
      <w:color w:val="404040" w:themeColor="text1" w:themeTint="BF"/>
    </w:rPr>
  </w:style>
  <w:style w:type="character" w:customStyle="1" w:styleId="QuoteChar">
    <w:name w:val="Quote Char"/>
    <w:basedOn w:val="DefaultParagraphFont"/>
    <w:link w:val="Quote"/>
    <w:uiPriority w:val="29"/>
    <w:rsid w:val="00830C4C"/>
    <w:rPr>
      <w:i/>
      <w:iCs/>
      <w:color w:val="404040" w:themeColor="text1" w:themeTint="BF"/>
    </w:rPr>
  </w:style>
  <w:style w:type="paragraph" w:styleId="ListParagraph">
    <w:name w:val="List Paragraph"/>
    <w:basedOn w:val="Normal"/>
    <w:uiPriority w:val="34"/>
    <w:qFormat/>
    <w:rsid w:val="00830C4C"/>
    <w:pPr>
      <w:ind w:left="720"/>
      <w:contextualSpacing/>
    </w:pPr>
  </w:style>
  <w:style w:type="character" w:styleId="IntenseEmphasis">
    <w:name w:val="Intense Emphasis"/>
    <w:basedOn w:val="DefaultParagraphFont"/>
    <w:uiPriority w:val="21"/>
    <w:qFormat/>
    <w:rsid w:val="00830C4C"/>
    <w:rPr>
      <w:i/>
      <w:iCs/>
      <w:color w:val="0F4761" w:themeColor="accent1" w:themeShade="BF"/>
    </w:rPr>
  </w:style>
  <w:style w:type="paragraph" w:styleId="IntenseQuote">
    <w:name w:val="Intense Quote"/>
    <w:basedOn w:val="Normal"/>
    <w:next w:val="Normal"/>
    <w:link w:val="IntenseQuoteChar"/>
    <w:uiPriority w:val="30"/>
    <w:qFormat/>
    <w:rsid w:val="00830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C4C"/>
    <w:rPr>
      <w:i/>
      <w:iCs/>
      <w:color w:val="0F4761" w:themeColor="accent1" w:themeShade="BF"/>
    </w:rPr>
  </w:style>
  <w:style w:type="character" w:styleId="IntenseReference">
    <w:name w:val="Intense Reference"/>
    <w:basedOn w:val="DefaultParagraphFont"/>
    <w:uiPriority w:val="32"/>
    <w:qFormat/>
    <w:rsid w:val="00830C4C"/>
    <w:rPr>
      <w:b/>
      <w:bCs/>
      <w:smallCaps/>
      <w:color w:val="0F4761" w:themeColor="accent1" w:themeShade="BF"/>
      <w:spacing w:val="5"/>
    </w:rPr>
  </w:style>
  <w:style w:type="paragraph" w:customStyle="1" w:styleId="isselectedend">
    <w:name w:val="isselectedend"/>
    <w:basedOn w:val="Normal"/>
    <w:rsid w:val="00830C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1228</Characters>
  <Application>Microsoft Office Word</Application>
  <DocSecurity>0</DocSecurity>
  <Lines>26</Lines>
  <Paragraphs>15</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Barrier</dc:creator>
  <cp:keywords/>
  <dc:description/>
  <cp:lastModifiedBy>Kristina Barrier</cp:lastModifiedBy>
  <cp:revision>1</cp:revision>
  <cp:lastPrinted>2026-07-01T19:19:00Z</cp:lastPrinted>
  <dcterms:created xsi:type="dcterms:W3CDTF">2026-07-01T19:06:00Z</dcterms:created>
  <dcterms:modified xsi:type="dcterms:W3CDTF">2026-07-01T19:19:00Z</dcterms:modified>
</cp:coreProperties>
</file>