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320186144ddc4409" /><Relationship Type="http://schemas.openxmlformats.org/package/2006/relationships/metadata/core-properties" Target="/docProps/core.xml" Id="Rc92f8ca05bdc4aed" /><Relationship Type="http://schemas.openxmlformats.org/officeDocument/2006/relationships/extended-properties" Target="/docProps/app.xml" Id="Rdfa6fe9ac1a34349" /><Relationship Type="http://schemas.openxmlformats.org/officeDocument/2006/relationships/custom-properties" Target="/docProps/custom.xml" Id="R249b5cc8408a4f4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1F7" w14:textId="001001F8">
      <w:pPr>
        <w:pBdr>
          <w:bottom w:val="single" w:color="CCCCCC" w:sz="4" w:space="4"/>
        </w:pBdr>
        <w:spacing w:after="0"/>
        <w:jc w:val="right"/>
      </w:pPr>
      <w:r>
        <w:rPr>
          <w:i/>
          <w:color w:val="9E9E9E"/>
          <w:sz w:val="18"/>
        </w:rPr>
        <w:t xml:space="preserve">Supply Chain Management &amp; Delivery Performance Analytics — Project Report</w:t>
      </w:r>
    </w:p>
    <w:p w14:paraId="00100000" w14:textId="001001D6">
      <w:pPr>
        <w:pStyle w:val="Heading1"/>
        <w:spacing w:after="40"/>
        <w:jc w:val="center"/>
      </w:pPr>
      <w:r>
        <w:rPr>
          <w:b/>
          <w:color w:val="1F3864"/>
          <w:sz w:val="44"/>
        </w:rPr>
        <w:t xml:space="preserve">SUPPLY CHAIN MANAGEMENT &amp;</w:t>
      </w:r>
    </w:p>
    <w:p w14:paraId="00100002" w14:textId="001001D7">
      <w:pPr>
        <w:pStyle w:val="Heading1"/>
        <w:spacing w:after="120"/>
        <w:jc w:val="center"/>
      </w:pPr>
      <w:r>
        <w:rPr>
          <w:b/>
          <w:color w:val="1F3864"/>
          <w:sz w:val="44"/>
        </w:rPr>
        <w:t xml:space="preserve">DELIVERY PERFORMANCE ANALYTICS DASHBOARD</w:t>
      </w:r>
    </w:p>
    <w:p w14:paraId="00100004" w14:textId="001001D8">
      <w:pPr>
        <w:pBdr>
          <w:bottom w:val="single" w:color="1F5DA8" w:sz="12" w:space="4"/>
        </w:pBdr>
        <w:spacing w:after="80"/>
        <w:jc w:val="center"/>
      </w:pPr>
      <w:r>
        <w:rPr>
          <w:b/>
          <w:color w:val="1F5DA8"/>
          <w:sz w:val="28"/>
        </w:rPr>
        <w:t xml:space="preserve">Project Report</w:t>
      </w:r>
    </w:p>
    <w:p w14:paraId="00100006" w14:textId="001001D9">
      <w:pPr>
        <w:spacing w:after="40"/>
        <w:jc w:val="center"/>
      </w:pPr>
      <w:r>
        <w:rPr>
          <w:b w:val="false"/>
          <w:sz w:val="24"/>
        </w:rPr>
        <w:t xml:space="preserve">Submitted by: Bhatt Rutva</w:t>
      </w:r>
    </w:p>
    <w:p w14:paraId="00100008" w14:textId="001001DA">
      <w:pPr>
        <w:spacing w:after="320"/>
        <w:jc w:val="center"/>
      </w:pPr>
      <w:r>
        <w:rPr>
          <w:i/>
          <w:color w:val="595959"/>
          <w:sz w:val="22"/>
        </w:rPr>
        <w:t xml:space="preserve">Dataset: DataCoSupplyChainDataset.csv  |  Records: 180,519  |  Tools: Python, Pandas, Plotly, Streamlit</w:t>
      </w:r>
    </w:p>
    <w:p w14:paraId="0010000A" w14:textId="001001DB">
      <w:pPr>
        <w:pStyle w:val="Heading1"/>
        <w:pBdr>
          <w:bottom w:val="single" w:color="1F5DA8" w:sz="8" w:space="4"/>
        </w:pBdr>
        <w:spacing w:before="280" w:after="80"/>
      </w:pPr>
      <w:r>
        <w:rPr>
          <w:b/>
          <w:color w:val="1F3864"/>
          <w:sz w:val="28"/>
        </w:rPr>
        <w:t xml:space="preserve">1. Project Overview</w:t>
      </w:r>
    </w:p>
    <w:p w14:paraId="0010000C" w14:textId="0010000D">
      <w:pPr>
        <w:spacing w:after="160"/>
      </w:pPr>
      <w:r>
        <w:rPr>
          <w:sz w:val="22"/>
        </w:rPr>
        <w:t xml:space="preserve">This project analyses real supply chain and order delivery data to identify the key drivers of late-delivery risk, revenue performance, profitability gaps, and operational inefficiencies. The analysis covers delivery performance across four shipping modes, revenue and profit across five global markets, customer segment analysis, discount impact on margins, and product-level profitability. The final product is an interactive Streamlit dashboard backed by a reusable Python analysis module, supported by this project report, a Jupyter notebook, and a PowerPoint presentation.</w:t>
      </w:r>
    </w:p>
    <w:p w14:paraId="0010000E" w14:textId="001001DC">
      <w:pPr>
        <w:pStyle w:val="Heading1"/>
        <w:pBdr>
          <w:bottom w:val="single" w:color="1F5DA8" w:sz="8" w:space="4"/>
        </w:pBdr>
        <w:spacing w:before="280" w:after="80"/>
      </w:pPr>
      <w:r>
        <w:rPr>
          <w:b/>
          <w:color w:val="1F3864"/>
          <w:sz w:val="28"/>
        </w:rPr>
        <w:t xml:space="preserve">2. Project Objective</w:t>
      </w:r>
    </w:p>
    <w:p w14:paraId="00100010" w14:textId="00100011">
      <w:pPr>
        <w:spacing w:after="120"/>
      </w:pPr>
      <w:r>
        <w:rPr>
          <w:sz w:val="22"/>
        </w:rPr>
        <w:t xml:space="preserve">The business problem addressed by this project is: supply chain managers need to understand why deliveries are late and where profit is being lost so they can prioritise operational improvements and protect revenue. The specific objectives are:</w:t>
      </w:r>
    </w:p>
    <w:p w14:paraId="00100012" w14:textId="00100013">
      <w:pPr>
        <w:numPr>
          <w:ilvl w:val="0"/>
          <w:numId w:val="1"/>
        </w:numPr>
        <w:spacing w:after="60"/>
      </w:pPr>
      <w:r>
        <w:rPr>
          <w:sz w:val="22"/>
        </w:rPr>
        <w:t xml:space="preserve">Measure the overall late-delivery rate and identify the highest-risk shipping modes and regions.</w:t>
      </w:r>
    </w:p>
    <w:p w14:paraId="00100014" w14:textId="00100015">
      <w:pPr>
        <w:numPr>
          <w:ilvl w:val="0"/>
          <w:numId w:val="1"/>
        </w:numPr>
        <w:spacing w:after="60"/>
      </w:pPr>
      <w:r>
        <w:rPr>
          <w:sz w:val="22"/>
        </w:rPr>
        <w:t xml:space="preserve">Segment revenue and profit by market, customer segment, department, and product category.</w:t>
      </w:r>
    </w:p>
    <w:p w14:paraId="00100016" w14:textId="00100017">
      <w:pPr>
        <w:numPr>
          <w:ilvl w:val="0"/>
          <w:numId w:val="1"/>
        </w:numPr>
        <w:spacing w:after="60"/>
      </w:pPr>
      <w:r>
        <w:rPr>
          <w:sz w:val="22"/>
        </w:rPr>
        <w:t xml:space="preserve">Quantify the impact of discount rates on profit margin and identify negative-profit order items.</w:t>
      </w:r>
    </w:p>
    <w:p w14:paraId="00100018" w14:textId="00100019">
      <w:pPr>
        <w:numPr>
          <w:ilvl w:val="0"/>
          <w:numId w:val="1"/>
        </w:numPr>
        <w:spacing w:after="60"/>
      </w:pPr>
      <w:r>
        <w:rPr>
          <w:sz w:val="22"/>
        </w:rPr>
        <w:t xml:space="preserve">Deliver eight actionable, data-driven business recommendations.</w:t>
      </w:r>
    </w:p>
    <w:p w14:paraId="0010001A" w14:textId="0010001B">
      <w:pPr>
        <w:numPr>
          <w:ilvl w:val="0"/>
          <w:numId w:val="1"/>
        </w:numPr>
        <w:spacing w:after="160"/>
      </w:pPr>
      <w:r>
        <w:rPr>
          <w:sz w:val="22"/>
        </w:rPr>
        <w:t xml:space="preserve">Build an interactive Streamlit dashboard for ongoing monitoring and exploration.</w:t>
      </w:r>
    </w:p>
    <w:p w14:paraId="0010001C" w14:textId="001001DD">
      <w:pPr>
        <w:pStyle w:val="Heading1"/>
        <w:pBdr>
          <w:bottom w:val="single" w:color="1F5DA8" w:sz="8" w:space="4"/>
        </w:pBdr>
        <w:spacing w:before="280" w:after="80"/>
      </w:pPr>
      <w:r>
        <w:rPr>
          <w:b/>
          <w:color w:val="1F3864"/>
          <w:sz w:val="28"/>
        </w:rPr>
        <w:t xml:space="preserve">3. Dataset Description</w:t>
      </w:r>
    </w:p>
    <w:p w14:paraId="0010001E" w14:textId="0010001F">
      <w:pPr>
        <w:spacing w:after="160"/>
      </w:pPr>
      <w:r>
        <w:rPr>
          <w:sz w:val="22"/>
        </w:rPr>
        <w:t xml:space="preserve">The dataset used is DataCoSupplyChainDataset.csv, which contains 180,519 rows and 53 raw columns (49 after cleaning) of supply chain order data. The dataset covers orders from 2015 to 2018 across five global markets. The table below summarises the dataset.</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20" w14:textId="00100021">
            <w:r>
              <w:t xml:space="preserve">Attribute</w:t>
            </w:r>
          </w:p>
        </w:tc>
        <w:tc>
          <w:p w14:paraId="00100022" w14:textId="00100023">
            <w:r>
              <w:t xml:space="preserve">Value</w:t>
            </w:r>
          </w:p>
        </w:tc>
      </w:tr>
      <w:tr>
        <w:trPr/>
        <w:tc>
          <w:p w14:paraId="00100024" w14:textId="00100025">
            <w:r>
              <w:t xml:space="preserve">File</w:t>
            </w:r>
          </w:p>
        </w:tc>
        <w:tc>
          <w:p w14:paraId="00100026" w14:textId="00100027">
            <w:r>
              <w:t xml:space="preserve">DataCoSupplyChainDataset.csv</w:t>
            </w:r>
          </w:p>
        </w:tc>
      </w:tr>
      <w:tr>
        <w:trPr/>
        <w:tc>
          <w:p w14:paraId="00100028" w14:textId="00100029">
            <w:r>
              <w:t xml:space="preserve">Total Rows / Columns</w:t>
            </w:r>
          </w:p>
        </w:tc>
        <w:tc>
          <w:p w14:paraId="0010002A" w14:textId="0010002B">
            <w:r>
              <w:t xml:space="preserve">180,519 rows / 53 raw columns (49 after cleaning)</w:t>
            </w:r>
          </w:p>
        </w:tc>
      </w:tr>
      <w:tr>
        <w:trPr/>
        <w:tc>
          <w:p w14:paraId="0010002C" w14:textId="0010002D">
            <w:r>
              <w:t xml:space="preserve">Date Range</w:t>
            </w:r>
          </w:p>
        </w:tc>
        <w:tc>
          <w:p w14:paraId="0010002E" w14:textId="0010002F">
            <w:r>
              <w:t xml:space="preserve">2015 – 2018</w:t>
            </w:r>
          </w:p>
        </w:tc>
      </w:tr>
      <w:tr>
        <w:trPr/>
        <w:tc>
          <w:p w14:paraId="00100030" w14:textId="00100031">
            <w:r>
              <w:t xml:space="preserve">Markets</w:t>
            </w:r>
          </w:p>
        </w:tc>
        <w:tc>
          <w:p w14:paraId="00100032" w14:textId="00100033">
            <w:r>
              <w:t xml:space="preserve">Africa, Europe, LATAM, Pacific Asia, USCA</w:t>
            </w:r>
          </w:p>
        </w:tc>
      </w:tr>
      <w:tr>
        <w:trPr/>
        <w:tc>
          <w:p w14:paraId="00100034" w14:textId="00100035">
            <w:r>
              <w:t xml:space="preserve">Order Regions</w:t>
            </w:r>
          </w:p>
        </w:tc>
        <w:tc>
          <w:p w14:paraId="00100036" w14:textId="00100037">
            <w:r>
              <w:t xml:space="preserve">23 regions worldwide</w:t>
            </w:r>
          </w:p>
        </w:tc>
      </w:tr>
      <w:tr>
        <w:trPr/>
        <w:tc>
          <w:p w14:paraId="00100038" w14:textId="00100039">
            <w:r>
              <w:t xml:space="preserve">Customer Segments</w:t>
            </w:r>
          </w:p>
        </w:tc>
        <w:tc>
          <w:p w14:paraId="0010003A" w14:textId="0010003B">
            <w:r>
              <w:t xml:space="preserve">Consumer, Corporate, Home Office</w:t>
            </w:r>
          </w:p>
        </w:tc>
      </w:tr>
      <w:tr>
        <w:trPr/>
        <w:tc>
          <w:p w14:paraId="0010003C" w14:textId="0010003D">
            <w:r>
              <w:t xml:space="preserve">Shipping Modes</w:t>
            </w:r>
          </w:p>
        </w:tc>
        <w:tc>
          <w:p w14:paraId="0010003E" w14:textId="0010003F">
            <w:r>
              <w:t xml:space="preserve">Standard Class, Second Class, First Class, Same Day</w:t>
            </w:r>
          </w:p>
        </w:tc>
      </w:tr>
      <w:tr>
        <w:trPr/>
        <w:tc>
          <w:p w14:paraId="00100040" w14:textId="00100041">
            <w:r>
              <w:t xml:space="preserve">Product Categories</w:t>
            </w:r>
          </w:p>
        </w:tc>
        <w:tc>
          <w:p w14:paraId="00100042" w14:textId="00100043">
            <w:r>
              <w:t xml:space="preserve">50 categories</w:t>
            </w:r>
          </w:p>
        </w:tc>
      </w:tr>
      <w:tr>
        <w:trPr/>
        <w:tc>
          <w:p w14:paraId="00100044" w14:textId="00100045">
            <w:r>
              <w:t xml:space="preserve">Departments</w:t>
            </w:r>
          </w:p>
        </w:tc>
        <w:tc>
          <w:p w14:paraId="00100046" w14:textId="00100047">
            <w:r>
              <w:t xml:space="preserve">11 departments</w:t>
            </w:r>
          </w:p>
        </w:tc>
      </w:tr>
      <w:tr>
        <w:trPr/>
        <w:tc>
          <w:p w14:paraId="00100048" w14:textId="00100049">
            <w:r>
              <w:t xml:space="preserve">Duplicate Rows</w:t>
            </w:r>
          </w:p>
        </w:tc>
        <w:tc>
          <w:p w14:paraId="0010004A" w14:textId="0010004B">
            <w:r>
              <w:t xml:space="preserve">0</w:t>
            </w:r>
          </w:p>
        </w:tc>
      </w:tr>
      <w:tr>
        <w:trPr/>
        <w:tc>
          <w:p w14:paraId="0010004C" w14:textId="0010004D">
            <w:r>
              <w:t xml:space="preserve">Missing Values</w:t>
            </w:r>
          </w:p>
        </w:tc>
        <w:tc>
          <w:p w14:paraId="0010004E" w14:textId="0010004F">
            <w:r>
              <w:t xml:space="preserve">Customer Lname: 8 rows; Customer Zipcode: 3 rows; Product Description: 100% (dropped)</w:t>
            </w:r>
          </w:p>
        </w:tc>
      </w:tr>
    </w:tbl>
    <w:p w14:paraId="00100050" w14:textId="001001DE">
      <w:pPr>
        <w:pStyle w:val="Heading1"/>
        <w:pBdr>
          <w:bottom w:val="single" w:color="1F5DA8" w:sz="8" w:space="4"/>
        </w:pBdr>
        <w:spacing w:before="280" w:after="80"/>
      </w:pPr>
      <w:r>
        <w:rPr>
          <w:b/>
          <w:color w:val="1F3864"/>
          <w:sz w:val="28"/>
        </w:rPr>
        <w:t xml:space="preserve">4. Data Cleaning</w:t>
      </w:r>
    </w:p>
    <w:p w14:paraId="00100052" w14:textId="00100053">
      <w:pPr>
        <w:spacing w:after="120"/>
      </w:pPr>
      <w:r>
        <w:rPr>
          <w:sz w:val="22"/>
        </w:rPr>
        <w:t xml:space="preserve">The raw dataset was inspected for quality issues before any analysis was performed. The following findings and actions were recorded:</w:t>
      </w:r>
    </w:p>
    <w:p w14:paraId="00100054" w14:textId="00100055">
      <w:pPr>
        <w:numPr>
          <w:ilvl w:val="0"/>
          <w:numId w:val="2"/>
        </w:numPr>
        <w:spacing w:after="60"/>
      </w:pPr>
      <w:r>
        <w:rPr>
          <w:sz w:val="22"/>
        </w:rPr>
        <w:t xml:space="preserve">Duplicate rows: 0 found. No rows were removed.</w:t>
      </w:r>
    </w:p>
    <w:p w14:paraId="00100056" w14:textId="00100057">
      <w:pPr>
        <w:numPr>
          <w:ilvl w:val="0"/>
          <w:numId w:val="2"/>
        </w:numPr>
        <w:spacing w:after="60"/>
      </w:pPr>
      <w:r>
        <w:rPr>
          <w:sz w:val="22"/>
        </w:rPr>
        <w:t xml:space="preserve">Missing values: Product Description column was 100% empty and was dropped entirely. Customer Lname had 8 missing values filled with "Unknown". Customer Zipcode had 3 missing values filled with 0.</w:t>
      </w:r>
    </w:p>
    <w:p w14:paraId="00100058" w14:textId="00100059">
      <w:pPr>
        <w:numPr>
          <w:ilvl w:val="0"/>
          <w:numId w:val="2"/>
        </w:numPr>
        <w:spacing w:after="60"/>
      </w:pPr>
      <w:r>
        <w:rPr>
          <w:sz w:val="22"/>
        </w:rPr>
        <w:t xml:space="preserve">Dropped columns: Product Description, Product Image, Customer Password, and Customer Email were removed (4 columns total), reducing the column count from 53 to 49.</w:t>
      </w:r>
    </w:p>
    <w:p w14:paraId="0010005A" w14:textId="0010005B">
      <w:pPr>
        <w:numPr>
          <w:ilvl w:val="0"/>
          <w:numId w:val="2"/>
        </w:numPr>
        <w:spacing w:after="60"/>
      </w:pPr>
      <w:r>
        <w:rPr>
          <w:sz w:val="22"/>
        </w:rPr>
        <w:t xml:space="preserve">Date parsing: order date and shipping date columns were parsed from strings to datetime format.</w:t>
      </w:r>
    </w:p>
    <w:p w14:paraId="0010005C" w14:textId="0010005D">
      <w:pPr>
        <w:numPr>
          <w:ilvl w:val="0"/>
          <w:numId w:val="2"/>
        </w:numPr>
        <w:spacing w:after="60"/>
      </w:pPr>
      <w:r>
        <w:rPr>
          <w:sz w:val="22"/>
        </w:rPr>
        <w:t xml:space="preserve">Whitespace: all string columns were stripped of leading and trailing whitespace.</w:t>
      </w:r>
    </w:p>
    <w:p w14:paraId="0010005E" w14:textId="0010005F">
      <w:pPr>
        <w:numPr>
          <w:ilvl w:val="0"/>
          <w:numId w:val="2"/>
        </w:numPr>
        <w:spacing w:after="60"/>
      </w:pPr>
      <w:r>
        <w:rPr>
          <w:sz w:val="22"/>
        </w:rPr>
        <w:t xml:space="preserve">Invalid core rows: rows with missing Sales or Order Profit Per Order values were flagged for removal — 0 rows affected.</w:t>
      </w:r>
    </w:p>
    <w:p w14:paraId="00100060" w14:textId="00100061">
      <w:pPr>
        <w:numPr>
          <w:ilvl w:val="0"/>
          <w:numId w:val="2"/>
        </w:numPr>
        <w:spacing w:after="120"/>
      </w:pPr>
      <w:r>
        <w:rPr>
          <w:sz w:val="22"/>
        </w:rPr>
        <w:t xml:space="preserve">Original CSV: never overwritten. All cleaning was performed in memory.</w:t>
      </w:r>
    </w:p>
    <w:p w14:paraId="00100062" w14:textId="00100063">
      <w:pPr>
        <w:spacing w:after="160"/>
      </w:pPr>
      <w:r>
        <w:rPr>
          <w:b/>
          <w:sz w:val="22"/>
        </w:rPr>
        <w:t xml:space="preserve">Final dataset after cleaning: 180,519 rows × 49 columns (unchanged row count — no rows were removed).</w:t>
      </w:r>
    </w:p>
    <w:p w14:paraId="00100064" w14:textId="001001DF">
      <w:pPr>
        <w:pStyle w:val="Heading1"/>
        <w:pBdr>
          <w:bottom w:val="single" w:color="1F5DA8" w:sz="8" w:space="4"/>
        </w:pBdr>
        <w:spacing w:before="280" w:after="80"/>
      </w:pPr>
      <w:r>
        <w:rPr>
          <w:b/>
          <w:color w:val="1F3864"/>
          <w:sz w:val="28"/>
        </w:rPr>
        <w:t xml:space="preserve">5. Feature Engineering</w:t>
      </w:r>
    </w:p>
    <w:p w14:paraId="00100066" w14:textId="00100067">
      <w:pPr>
        <w:spacing w:after="120"/>
      </w:pPr>
      <w:r>
        <w:rPr>
          <w:sz w:val="22"/>
        </w:rPr>
        <w:t xml:space="preserve">Nine new analytical features were derived from the cleaned dataset to enable richer time-series, delivery, and profitability analysis: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68" w14:textId="00100069">
            <w:r>
              <w:t xml:space="preserve">New Column</w:t>
            </w:r>
          </w:p>
        </w:tc>
        <w:tc>
          <w:p w14:paraId="0010006A" w14:textId="0010006B">
            <w:r>
              <w:t xml:space="preserve">Description</w:t>
            </w:r>
          </w:p>
        </w:tc>
      </w:tr>
      <w:tr>
        <w:trPr/>
        <w:tc>
          <w:p w14:paraId="0010006C" w14:textId="0010006D">
            <w:r>
              <w:t xml:space="preserve">Order Year</w:t>
            </w:r>
          </w:p>
        </w:tc>
        <w:tc>
          <w:p w14:paraId="0010006E" w14:textId="0010006F">
            <w:r>
              <w:t xml:space="preserve">Year extracted from order date</w:t>
            </w:r>
          </w:p>
        </w:tc>
      </w:tr>
      <w:tr>
        <w:trPr/>
        <w:tc>
          <w:p w14:paraId="00100070" w14:textId="00100071">
            <w:r>
              <w:t xml:space="preserve">Order Month</w:t>
            </w:r>
          </w:p>
        </w:tc>
        <w:tc>
          <w:p w14:paraId="00100072" w14:textId="00100073">
            <w:r>
              <w:t xml:space="preserve">Month number (1–12)</w:t>
            </w:r>
          </w:p>
        </w:tc>
      </w:tr>
      <w:tr>
        <w:trPr/>
        <w:tc>
          <w:p w14:paraId="00100074" w14:textId="00100075">
            <w:r>
              <w:t xml:space="preserve">Order Month Name</w:t>
            </w:r>
          </w:p>
        </w:tc>
        <w:tc>
          <w:p w14:paraId="00100076" w14:textId="00100077">
            <w:r>
              <w:t xml:space="preserve">Abbreviated month name (Jan–Dec)</w:t>
            </w:r>
          </w:p>
        </w:tc>
      </w:tr>
      <w:tr>
        <w:trPr/>
        <w:tc>
          <w:p w14:paraId="00100078" w14:textId="00100079">
            <w:r>
              <w:t xml:space="preserve">Order Quarter</w:t>
            </w:r>
          </w:p>
        </w:tc>
        <w:tc>
          <w:p w14:paraId="0010007A" w14:textId="0010007B">
            <w:r>
              <w:t xml:space="preserve">Q1–Q4</w:t>
            </w:r>
          </w:p>
        </w:tc>
      </w:tr>
      <w:tr>
        <w:trPr/>
        <w:tc>
          <w:p w14:paraId="0010007C" w14:textId="0010007D">
            <w:r>
              <w:t xml:space="preserve">Order YearMonth</w:t>
            </w:r>
          </w:p>
        </w:tc>
        <w:tc>
          <w:p w14:paraId="0010007E" w14:textId="0010007F">
            <w:r>
              <w:t xml:space="preserve">Period string YYYY-MM for time series charts</w:t>
            </w:r>
          </w:p>
        </w:tc>
      </w:tr>
      <w:tr>
        <w:trPr/>
        <w:tc>
          <w:p w14:paraId="00100080" w14:textId="00100081">
            <w:r>
              <w:t xml:space="preserve">Shipping Delay Days</w:t>
            </w:r>
          </w:p>
        </w:tc>
        <w:tc>
          <w:p w14:paraId="00100082" w14:textId="00100083">
            <w:r>
              <w:t xml:space="preserve">Actual shipping days minus Scheduled shipping days</w:t>
            </w:r>
          </w:p>
        </w:tc>
      </w:tr>
      <w:tr>
        <w:trPr/>
        <w:tc>
          <w:p w14:paraId="00100084" w14:textId="00100085">
            <w:r>
              <w:t xml:space="preserve">Is Late</w:t>
            </w:r>
          </w:p>
        </w:tc>
        <w:tc>
          <w:p w14:paraId="00100086" w14:textId="00100087">
            <w:r>
              <w:t xml:space="preserve">1 if Delivery Status = 'Late delivery', else 0</w:t>
            </w:r>
          </w:p>
        </w:tc>
      </w:tr>
      <w:tr>
        <w:trPr/>
        <w:tc>
          <w:p w14:paraId="00100088" w14:textId="00100089">
            <w:r>
              <w:t xml:space="preserve">Profit Margin (%)</w:t>
            </w:r>
          </w:p>
        </w:tc>
        <w:tc>
          <w:p w14:paraId="0010008A" w14:textId="0010008B">
            <w:r>
              <w:t xml:space="preserve">Order Profit Per Order / Sales × 100 (clipped ±200%)</w:t>
            </w:r>
          </w:p>
        </w:tc>
      </w:tr>
      <w:tr>
        <w:trPr/>
        <w:tc>
          <w:p w14:paraId="0010008C" w14:textId="0010008D">
            <w:r>
              <w:t xml:space="preserve">Revenue Band</w:t>
            </w:r>
          </w:p>
        </w:tc>
        <w:tc>
          <w:p w14:paraId="0010008E" w14:textId="0010008F">
            <w:r>
              <w:t xml:space="preserve">Low / Medium / High / Very High quartile bands</w:t>
            </w:r>
          </w:p>
        </w:tc>
      </w:tr>
    </w:tbl>
    <w:p w14:paraId="00100090" w14:textId="001001E0">
      <w:pPr>
        <w:pStyle w:val="Heading1"/>
        <w:pBdr>
          <w:bottom w:val="single" w:color="1F5DA8" w:sz="8" w:space="4"/>
        </w:pBdr>
        <w:spacing w:before="280" w:after="80"/>
      </w:pPr>
      <w:r>
        <w:rPr>
          <w:b/>
          <w:color w:val="1F3864"/>
          <w:sz w:val="28"/>
        </w:rPr>
        <w:t xml:space="preserve">6. Key Performance Indicators</w:t>
      </w:r>
    </w:p>
    <w:p w14:paraId="00100092" w14:textId="00100093">
      <w:pPr>
        <w:spacing w:after="120"/>
      </w:pPr>
      <w:r>
        <w:rPr>
          <w:sz w:val="22"/>
        </w:rPr>
        <w:t xml:space="preserve">The following KPIs were calculated from the full cleaned dataset of 180,519 order-item records: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94" w14:textId="00100095">
            <w:r>
              <w:t xml:space="preserve">KPI</w:t>
            </w:r>
          </w:p>
        </w:tc>
        <w:tc>
          <w:p w14:paraId="00100096" w14:textId="00100097">
            <w:r>
              <w:t xml:space="preserve">Value</w:t>
            </w:r>
          </w:p>
        </w:tc>
      </w:tr>
      <w:tr>
        <w:trPr/>
        <w:tc>
          <w:p w14:paraId="00100098" w14:textId="00100099">
            <w:r>
              <w:t xml:space="preserve">Total Order Items</w:t>
            </w:r>
          </w:p>
        </w:tc>
        <w:tc>
          <w:p w14:paraId="0010009A" w14:textId="0010009B">
            <w:r>
              <w:t xml:space="preserve">180,519</w:t>
            </w:r>
          </w:p>
        </w:tc>
      </w:tr>
      <w:tr>
        <w:trPr/>
        <w:tc>
          <w:p w14:paraId="0010009C" w14:textId="0010009D">
            <w:r>
              <w:t xml:space="preserve">Total Unique Orders</w:t>
            </w:r>
          </w:p>
        </w:tc>
        <w:tc>
          <w:p w14:paraId="0010009E" w14:textId="0010009F">
            <w:r>
              <w:t xml:space="preserve">65,752</w:t>
            </w:r>
          </w:p>
        </w:tc>
      </w:tr>
      <w:tr>
        <w:trPr/>
        <w:tc>
          <w:p w14:paraId="001000A0" w14:textId="001000A1">
            <w:r>
              <w:t xml:space="preserve">Total Unique Customers</w:t>
            </w:r>
          </w:p>
        </w:tc>
        <w:tc>
          <w:p w14:paraId="001000A2" w14:textId="001000A3">
            <w:r>
              <w:t xml:space="preserve">20,652</w:t>
            </w:r>
          </w:p>
        </w:tc>
      </w:tr>
      <w:tr>
        <w:trPr/>
        <w:tc>
          <w:p w14:paraId="001000A4" w14:textId="001000A5">
            <w:r>
              <w:t xml:space="preserve">Total Revenue</w:t>
            </w:r>
          </w:p>
        </w:tc>
        <w:tc>
          <w:p w14:paraId="001000A6" w14:textId="001000A7">
            <w:r>
              <w:t xml:space="preserve">$36.78M</w:t>
            </w:r>
          </w:p>
        </w:tc>
      </w:tr>
      <w:tr>
        <w:trPr/>
        <w:tc>
          <w:p w14:paraId="001000A8" w14:textId="001000A9">
            <w:r>
              <w:t xml:space="preserve">Total Profit</w:t>
            </w:r>
          </w:p>
        </w:tc>
        <w:tc>
          <w:p w14:paraId="001000AA" w14:textId="001000AB">
            <w:r>
              <w:t xml:space="preserve">$3.97M</w:t>
            </w:r>
          </w:p>
        </w:tc>
      </w:tr>
      <w:tr>
        <w:trPr/>
        <w:tc>
          <w:p w14:paraId="001000AC" w14:textId="001000AD">
            <w:r>
              <w:t xml:space="preserve">Overall Profit Margin</w:t>
            </w:r>
          </w:p>
        </w:tc>
        <w:tc>
          <w:p w14:paraId="001000AE" w14:textId="001000AF">
            <w:r>
              <w:t xml:space="preserve">10.78%</w:t>
            </w:r>
          </w:p>
        </w:tc>
      </w:tr>
      <w:tr>
        <w:trPr/>
        <w:tc>
          <w:p w14:paraId="001000B0" w14:textId="001000B1">
            <w:r>
              <w:t xml:space="preserve">Average Order Value</w:t>
            </w:r>
          </w:p>
        </w:tc>
        <w:tc>
          <w:p w14:paraId="001000B2" w14:textId="001000B3">
            <w:r>
              <w:t xml:space="preserve">$203.77</w:t>
            </w:r>
          </w:p>
        </w:tc>
      </w:tr>
      <w:tr>
        <w:trPr/>
        <w:tc>
          <w:p w14:paraId="001000B4" w14:textId="001000B5">
            <w:r>
              <w:t xml:space="preserve">Average Profit Per Order</w:t>
            </w:r>
          </w:p>
        </w:tc>
        <w:tc>
          <w:p w14:paraId="001000B6" w14:textId="001000B7">
            <w:r>
              <w:t xml:space="preserve">$21.97</w:t>
            </w:r>
          </w:p>
        </w:tc>
      </w:tr>
      <w:tr>
        <w:trPr/>
        <w:tc>
          <w:p w14:paraId="001000B8" w14:textId="001000B9">
            <w:r>
              <w:t xml:space="preserve">Late Delivery Rate</w:t>
            </w:r>
          </w:p>
        </w:tc>
        <w:tc>
          <w:p w14:paraId="001000BA" w14:textId="001000BB">
            <w:r>
              <w:t xml:space="preserve">54.83%</w:t>
            </w:r>
          </w:p>
        </w:tc>
      </w:tr>
      <w:tr>
        <w:trPr/>
        <w:tc>
          <w:p w14:paraId="001000BC" w14:textId="001000BD">
            <w:r>
              <w:t xml:space="preserve">Average Discount Rate</w:t>
            </w:r>
          </w:p>
        </w:tc>
        <w:tc>
          <w:p w14:paraId="001000BE" w14:textId="001000BF">
            <w:r>
              <w:t xml:space="preserve">10.17%</w:t>
            </w:r>
          </w:p>
        </w:tc>
      </w:tr>
    </w:tbl>
    <w:p w14:paraId="001000C0" w14:textId="001001E1">
      <w:pPr>
        <w:pStyle w:val="Heading1"/>
        <w:pBdr>
          <w:bottom w:val="single" w:color="1F5DA8" w:sz="8" w:space="4"/>
        </w:pBdr>
        <w:spacing w:before="280" w:after="80"/>
      </w:pPr>
      <w:r>
        <w:rPr>
          <w:b/>
          <w:color w:val="1F3864"/>
          <w:sz w:val="28"/>
        </w:rPr>
        <w:t xml:space="preserve">7. Exploratory Data Analysis</w:t>
      </w:r>
    </w:p>
    <w:p w14:paraId="001000C2" w14:textId="001001E9">
      <w:pPr>
        <w:pStyle w:val="Heading2"/>
        <w:spacing w:before="200" w:after="60"/>
      </w:pPr>
      <w:r>
        <w:rPr>
          <w:b/>
          <w:color w:val="1F5DA8"/>
          <w:sz w:val="24"/>
        </w:rPr>
        <w:t xml:space="preserve">7.1 Order &amp; Customer Demographics</w:t>
      </w:r>
    </w:p>
    <w:p w14:paraId="001000C4" w14:textId="001000C5">
      <w:pPr>
        <w:spacing w:after="160"/>
      </w:pPr>
      <w:r>
        <w:rPr>
          <w:sz w:val="22"/>
        </w:rPr>
        <w:t xml:space="preserve">The dataset covers 65,752 unique orders placed by 20,652 customers between 2015 and 2018. Three customer segments are present: Consumer (52.3% of profit), Corporate, and Home Office. Payment types include DEBIT, TRANSFER, CASH, and PAYMENT. Orders span 23 global regions across five markets: Europe (29.6% of revenue), USCA (26.5%), LATAM (16.2%), Pacific Asia (15.2%), and Africa (12.6%). Standard Class is the most used shipping mode (~55% of orders).</w:t>
      </w:r>
    </w:p>
    <w:p w14:paraId="001000C6" w14:textId="001001EA">
      <w:pPr>
        <w:pStyle w:val="Heading2"/>
        <w:spacing w:before="200" w:after="60"/>
      </w:pPr>
      <w:r>
        <w:rPr>
          <w:b/>
          <w:color w:val="1F5DA8"/>
          <w:sz w:val="24"/>
        </w:rPr>
        <w:t xml:space="preserve">7.2 Delivery Performance by Shipping Mode</w:t>
      </w:r>
    </w:p>
    <w:p w14:paraId="001000C8" w14:textId="001000C9">
      <w:pPr>
        <w:spacing w:after="120"/>
      </w:pPr>
      <w:r>
        <w:rPr>
          <w:sz w:val="22"/>
        </w:rPr>
        <w:t xml:space="preserve">Late-delivery rates vary critically across shipping modes, as shown in the table below:</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CA" w14:textId="001000CB">
            <w:r>
              <w:t xml:space="preserve">Shipping Mode</w:t>
            </w:r>
          </w:p>
        </w:tc>
        <w:tc>
          <w:p w14:paraId="001000CC" w14:textId="001000CD">
            <w:r>
              <w:t xml:space="preserve">Late-Delivery Risk Rate</w:t>
            </w:r>
          </w:p>
        </w:tc>
        <w:tc>
          <w:p w14:paraId="001000CE" w14:textId="001000CF">
            <w:r>
              <w:t xml:space="preserve">Interpretation</w:t>
            </w:r>
          </w:p>
        </w:tc>
      </w:tr>
      <w:tr>
        <w:trPr/>
        <w:tc>
          <w:p w14:paraId="001000D0" w14:textId="001000D1">
            <w:r>
              <w:t xml:space="preserve">First Class</w:t>
            </w:r>
          </w:p>
        </w:tc>
        <w:tc>
          <w:p w14:paraId="001000D2" w14:textId="001000D3">
            <w:r>
              <w:t xml:space="preserve">95.3%</w:t>
            </w:r>
          </w:p>
        </w:tc>
        <w:tc>
          <w:p w14:paraId="001000D4" w14:textId="001000D5">
            <w:r>
              <w:t xml:space="preserve">Near-total failure — highest priority issue</w:t>
            </w:r>
          </w:p>
        </w:tc>
      </w:tr>
      <w:tr>
        <w:trPr/>
        <w:tc>
          <w:p w14:paraId="001000D6" w14:textId="001000D7">
            <w:r>
              <w:t xml:space="preserve">Same Day</w:t>
            </w:r>
          </w:p>
        </w:tc>
        <w:tc>
          <w:p w14:paraId="001000D8" w14:textId="001000D9">
            <w:r>
              <w:t xml:space="preserve">69.5%</w:t>
            </w:r>
          </w:p>
        </w:tc>
        <w:tc>
          <w:p w14:paraId="001000DA" w14:textId="001000DB">
            <w:r>
              <w:t xml:space="preserve">High risk despite premium pricing</w:t>
            </w:r>
          </w:p>
        </w:tc>
      </w:tr>
      <w:tr>
        <w:trPr/>
        <w:tc>
          <w:p w14:paraId="001000DC" w14:textId="001000DD">
            <w:r>
              <w:t xml:space="preserve">Second Class</w:t>
            </w:r>
          </w:p>
        </w:tc>
        <w:tc>
          <w:p w14:paraId="001000DE" w14:textId="001000DF">
            <w:r>
              <w:t xml:space="preserve">62.6%</w:t>
            </w:r>
          </w:p>
        </w:tc>
        <w:tc>
          <w:p w14:paraId="001000E0" w14:textId="001000E1">
            <w:r>
              <w:t xml:space="preserve">Above-average risk</w:t>
            </w:r>
          </w:p>
        </w:tc>
      </w:tr>
      <w:tr>
        <w:trPr/>
        <w:tc>
          <w:p w14:paraId="001000E2" w14:textId="001000E3">
            <w:r>
              <w:t xml:space="preserve">Standard Class</w:t>
            </w:r>
          </w:p>
        </w:tc>
        <w:tc>
          <w:p w14:paraId="001000E4" w14:textId="001000E5">
            <w:r>
              <w:t xml:space="preserve">38.1%</w:t>
            </w:r>
          </w:p>
        </w:tc>
        <w:tc>
          <w:p w14:paraId="001000E6" w14:textId="001000E7">
            <w:r>
              <w:t xml:space="preserve">Most reliable — counterintuitively the slowest tier</w:t>
            </w:r>
          </w:p>
        </w:tc>
      </w:tr>
      <w:tr>
        <w:trPr/>
        <w:tc>
          <w:p w14:paraId="001000E8" w14:textId="001000E9">
            <w:r>
              <w:t xml:space="preserve">Overall</w:t>
            </w:r>
          </w:p>
        </w:tc>
        <w:tc>
          <w:p w14:paraId="001000EA" w14:textId="001000EB">
            <w:r>
              <w:t xml:space="preserve">54.83%</w:t>
            </w:r>
          </w:p>
        </w:tc>
        <w:tc>
          <w:p w14:paraId="001000EC" w14:textId="001000ED">
            <w:r>
              <w:t xml:space="preserve">Systemic delivery problem across all modes</w:t>
            </w:r>
          </w:p>
        </w:tc>
      </w:tr>
    </w:tbl>
    <w:p w14:paraId="001000EE" w14:textId="001001EB">
      <w:pPr>
        <w:pStyle w:val="Heading2"/>
        <w:spacing w:before="200" w:after="60"/>
      </w:pPr>
      <w:r>
        <w:rPr>
          <w:b/>
          <w:color w:val="1F5DA8"/>
          <w:sz w:val="24"/>
        </w:rPr>
        <w:t xml:space="preserve">7.3 Revenue &amp; Profit by Market</w:t>
      </w:r>
    </w:p>
    <w:p w14:paraId="001000F0" w14:textId="001000F1">
      <w:pPr>
        <w:spacing w:after="160"/>
      </w:pPr>
      <w:r>
        <w:rPr>
          <w:sz w:val="22"/>
        </w:rPr>
        <w:t xml:space="preserve">Europe is the top revenue market at $10.87M (29.6% of total), followed by USCA ($9.73M), LATAM ($5.97M), Pacific Asia ($5.59M), and Africa ($4.62M). While Europe leads in absolute revenue, profit margins should be compared across markets to identify the best return-per-dollar market.</w:t>
      </w:r>
    </w:p>
    <w:p w14:paraId="001000F2" w14:textId="001001EC">
      <w:pPr>
        <w:pStyle w:val="Heading2"/>
        <w:spacing w:before="200" w:after="60"/>
      </w:pPr>
      <w:r>
        <w:rPr>
          <w:b/>
          <w:color w:val="1F5DA8"/>
          <w:sz w:val="24"/>
        </w:rPr>
        <w:t xml:space="preserve">7.4 Departmental &amp; Product Profitability</w:t>
      </w:r>
    </w:p>
    <w:p w14:paraId="001000F4" w14:textId="001000F5">
      <w:pPr>
        <w:spacing w:after="160"/>
      </w:pPr>
      <w:r>
        <w:rPr>
          <w:sz w:val="22"/>
        </w:rPr>
        <w:t xml:space="preserve">Fan Shop is the most profitable department at $1.83M (46.2% of total departmental profit). The Fishing category ($756K) is the single most profitable product category. Several high-sales products carry dangerously thin margins: Men's gala suit (4.57%), DVDs (8.38%), and Adult dog supplies (8.64%). These products consume operational capacity without delivering proportionate returns.</w:t>
      </w:r>
    </w:p>
    <w:p w14:paraId="001000F6" w14:textId="001001ED">
      <w:pPr>
        <w:pStyle w:val="Heading2"/>
        <w:spacing w:before="200" w:after="60"/>
      </w:pPr>
      <w:r>
        <w:rPr>
          <w:b/>
          <w:color w:val="1F5DA8"/>
          <w:sz w:val="24"/>
        </w:rPr>
        <w:t xml:space="preserve">7.5 Discount Impact on Profitability</w:t>
      </w:r>
    </w:p>
    <w:p w14:paraId="001000F8" w14:textId="001000F9">
      <w:pPr>
        <w:spacing w:after="160"/>
      </w:pPr>
      <w:r>
        <w:rPr>
          <w:sz w:val="22"/>
        </w:rPr>
        <w:t xml:space="preserve">The overall profit margin is 10.78%, but 18.7% of all order items (33,784 rows) generate negative profit. The Pearson correlation between discount rate and profit is -0.019. The average discount rate is 10.17%. While the global correlation is weak, extreme discounts on specific SKUs are eroding margins at scale, evidenced by the 18.7% negative-profit rate.</w:t>
      </w:r>
    </w:p>
    <w:p w14:paraId="001000FA" w14:textId="001001EE">
      <w:pPr>
        <w:pStyle w:val="Heading2"/>
        <w:spacing w:before="200" w:after="60"/>
      </w:pPr>
      <w:r>
        <w:rPr>
          <w:b/>
          <w:color w:val="1F5DA8"/>
          <w:sz w:val="24"/>
        </w:rPr>
        <w:t xml:space="preserve">7.6 Shipping Delay Analysis</w:t>
      </w:r>
    </w:p>
    <w:p w14:paraId="001000FC" w14:textId="001000FD">
      <w:pPr>
        <w:spacing w:after="160"/>
      </w:pPr>
      <w:r>
        <w:rPr>
          <w:sz w:val="22"/>
        </w:rPr>
        <w:t xml:space="preserve">The average shipping delay is +0.57 days (actual minus scheduled). This positive average confirms that delivery schedule promises are systematically optimistic across all modes. 54.83% of order items carry a late-delivery risk flag. Central Africa has the highest regional late-delivery rate at 58.0%, followed by other African sub-regions.</w:t>
      </w:r>
    </w:p>
    <w:p w14:paraId="001000FE" w14:textId="001001E2">
      <w:pPr>
        <w:pStyle w:val="Heading1"/>
        <w:pBdr>
          <w:bottom w:val="single" w:color="1F5DA8" w:sz="8" w:space="4"/>
        </w:pBdr>
        <w:spacing w:before="280" w:after="80"/>
      </w:pPr>
      <w:r>
        <w:rPr>
          <w:b/>
          <w:color w:val="1F3864"/>
          <w:sz w:val="28"/>
        </w:rPr>
        <w:t xml:space="preserve">8. Business Questions &amp; Answers</w:t>
      </w:r>
    </w:p>
    <w:p w14:paraId="00100100" w14:textId="00100101">
      <w:pPr>
        <w:spacing w:after="120"/>
      </w:pPr>
      <w:r>
        <w:rPr>
          <w:sz w:val="22"/>
        </w:rPr>
        <w:t xml:space="preserve">The following 13 business questions were answered using actual calculations from the dataset:</w:t>
      </w:r>
    </w:p>
    <w:p w14:paraId="00100102" w14:textId="00100103">
      <w:pPr>
        <w:numPr>
          <w:ilvl w:val="0"/>
          <w:numId w:val="3"/>
        </w:numPr>
        <w:spacing w:after="60"/>
      </w:pPr>
      <w:r>
        <w:rPr>
          <w:sz w:val="22"/>
        </w:rPr>
        <w:t xml:space="preserve">Q1. What is the overall late-delivery risk rate? Answer: 54.83% (98,977 out of 180,519 order items)</w:t>
      </w:r>
    </w:p>
    <w:p w14:paraId="00100104" w14:textId="00100105">
      <w:pPr>
        <w:numPr>
          <w:ilvl w:val="0"/>
          <w:numId w:val="3"/>
        </w:numPr>
        <w:spacing w:after="60"/>
      </w:pPr>
      <w:r>
        <w:rPr>
          <w:sz w:val="22"/>
        </w:rPr>
        <w:t xml:space="preserve">Q2. Which shipping mode has the highest late-delivery risk? Answer: First Class at 95.3%</w:t>
      </w:r>
    </w:p>
    <w:p w14:paraId="00100106" w14:textId="00100107">
      <w:pPr>
        <w:numPr>
          <w:ilvl w:val="0"/>
          <w:numId w:val="3"/>
        </w:numPr>
        <w:spacing w:after="60"/>
      </w:pPr>
      <w:r>
        <w:rPr>
          <w:sz w:val="22"/>
        </w:rPr>
        <w:t xml:space="preserve">Q3. Which shipping mode is the most reliable? Answer: Standard Class at 38.1%</w:t>
      </w:r>
    </w:p>
    <w:p w14:paraId="00100108" w14:textId="00100109">
      <w:pPr>
        <w:numPr>
          <w:ilvl w:val="0"/>
          <w:numId w:val="3"/>
        </w:numPr>
        <w:spacing w:after="60"/>
      </w:pPr>
      <w:r>
        <w:rPr>
          <w:sz w:val="22"/>
        </w:rPr>
        <w:t xml:space="preserve">Q4. Which market generates the most revenue? Answer: Europe at $10.87M (29.6% of total)</w:t>
      </w:r>
    </w:p>
    <w:p w14:paraId="0010010A" w14:textId="0010010B">
      <w:pPr>
        <w:numPr>
          <w:ilvl w:val="0"/>
          <w:numId w:val="3"/>
        </w:numPr>
        <w:spacing w:after="60"/>
      </w:pPr>
      <w:r>
        <w:rPr>
          <w:sz w:val="22"/>
        </w:rPr>
        <w:t xml:space="preserve">Q5. Which department is most profitable? Answer: Fan Shop at $1.83M (46.2% of departmental profit)</w:t>
      </w:r>
    </w:p>
    <w:p w14:paraId="0010010C" w14:textId="0010010D">
      <w:pPr>
        <w:numPr>
          <w:ilvl w:val="0"/>
          <w:numId w:val="3"/>
        </w:numPr>
        <w:spacing w:after="60"/>
      </w:pPr>
      <w:r>
        <w:rPr>
          <w:sz w:val="22"/>
        </w:rPr>
        <w:t xml:space="preserve">Q6. Which customer segment contributes most profit? Answer: Consumer segment at 52.3%</w:t>
      </w:r>
    </w:p>
    <w:p w14:paraId="0010010E" w14:textId="0010010F">
      <w:pPr>
        <w:numPr>
          <w:ilvl w:val="0"/>
          <w:numId w:val="3"/>
        </w:numPr>
        <w:spacing w:after="60"/>
      </w:pPr>
      <w:r>
        <w:rPr>
          <w:sz w:val="22"/>
        </w:rPr>
        <w:t xml:space="preserve">Q7. What is the overall profit margin? Answer: 10.78% ($3.97M profit on $36.78M revenue)</w:t>
      </w:r>
    </w:p>
    <w:p w14:paraId="00100110" w14:textId="00100111">
      <w:pPr>
        <w:numPr>
          <w:ilvl w:val="0"/>
          <w:numId w:val="3"/>
        </w:numPr>
        <w:spacing w:after="60"/>
      </w:pPr>
      <w:r>
        <w:rPr>
          <w:sz w:val="22"/>
        </w:rPr>
        <w:t xml:space="preserve">Q8. What percentage of orders generate negative profit? Answer: 18.7% (33,784 order items)</w:t>
      </w:r>
    </w:p>
    <w:p w14:paraId="00100112" w14:textId="00100113">
      <w:pPr>
        <w:numPr>
          <w:ilvl w:val="0"/>
          <w:numId w:val="3"/>
        </w:numPr>
        <w:spacing w:after="60"/>
      </w:pPr>
      <w:r>
        <w:rPr>
          <w:sz w:val="22"/>
        </w:rPr>
        <w:t xml:space="preserve">Q9. What is the average shipping delay? Answer: +0.57 days (actual vs scheduled)</w:t>
      </w:r>
    </w:p>
    <w:p w14:paraId="00100114" w14:textId="00100115">
      <w:pPr>
        <w:numPr>
          <w:ilvl w:val="0"/>
          <w:numId w:val="3"/>
        </w:numPr>
        <w:spacing w:after="60"/>
      </w:pPr>
      <w:r>
        <w:rPr>
          <w:sz w:val="22"/>
        </w:rPr>
        <w:t xml:space="preserve">Q10. Which region has the highest late-delivery rate? Answer: Central Africa at 58.0%</w:t>
      </w:r>
    </w:p>
    <w:p w14:paraId="00100116" w14:textId="00100117">
      <w:pPr>
        <w:numPr>
          <w:ilvl w:val="0"/>
          <w:numId w:val="3"/>
        </w:numPr>
        <w:spacing w:after="60"/>
      </w:pPr>
      <w:r>
        <w:rPr>
          <w:sz w:val="22"/>
        </w:rPr>
        <w:t xml:space="preserve">Q11. What is the most profitable product category? Answer: Fishing at $756K</w:t>
      </w:r>
    </w:p>
    <w:p w14:paraId="00100118" w14:textId="00100119">
      <w:pPr>
        <w:numPr>
          <w:ilvl w:val="0"/>
          <w:numId w:val="3"/>
        </w:numPr>
        <w:spacing w:after="60"/>
      </w:pPr>
      <w:r>
        <w:rPr>
          <w:sz w:val="22"/>
        </w:rPr>
        <w:t xml:space="preserve">Q12. What is the average order value? Answer: $203.77 per order item ($559.45 at order level)</w:t>
      </w:r>
    </w:p>
    <w:p w14:paraId="0010011A" w14:textId="0010011B">
      <w:pPr>
        <w:numPr>
          <w:ilvl w:val="0"/>
          <w:numId w:val="3"/>
        </w:numPr>
        <w:spacing w:after="160"/>
      </w:pPr>
      <w:r>
        <w:rPr>
          <w:sz w:val="22"/>
        </w:rPr>
        <w:t xml:space="preserve">Q13. What are the top improvement priorities? Answer: First Class shipping reliability, African logistics, discount policy enforcement</w:t>
      </w:r>
    </w:p>
    <w:p w14:paraId="0010011C" w14:textId="001001E3">
      <w:pPr>
        <w:pStyle w:val="Heading1"/>
        <w:pBdr>
          <w:bottom w:val="single" w:color="1F5DA8" w:sz="8" w:space="4"/>
        </w:pBdr>
        <w:spacing w:before="280" w:after="80"/>
      </w:pPr>
      <w:r>
        <w:rPr>
          <w:b/>
          <w:color w:val="1F3864"/>
          <w:sz w:val="28"/>
        </w:rPr>
        <w:t xml:space="preserve">9. Key Findings</w:t>
      </w:r>
    </w:p>
    <w:p w14:paraId="0010011E" w14:textId="0010011F">
      <w:pPr>
        <w:numPr>
          <w:ilvl w:val="0"/>
          <w:numId w:val="4"/>
        </w:numPr>
        <w:spacing w:after="100"/>
      </w:pPr>
      <w:r>
        <w:rPr>
          <w:sz w:val="22"/>
        </w:rPr>
        <w:t xml:space="preserve">Finding 1: More than half of all orders face late-delivery risk. 54.83% of order items (98,977 out of 180,519) carry the Late_delivery_risk flag — indicating a systemic operational problem, not isolated incidents.</w:t>
      </w:r>
    </w:p>
    <w:p w14:paraId="00100120" w14:textId="00100121">
      <w:pPr>
        <w:numPr>
          <w:ilvl w:val="0"/>
          <w:numId w:val="4"/>
        </w:numPr>
        <w:spacing w:after="100"/>
      </w:pPr>
      <w:r>
        <w:rPr>
          <w:sz w:val="22"/>
        </w:rPr>
        <w:t xml:space="preserve">Finding 2: First Class shipping has a 95.3% late-delivery risk rate — near-total failure. This is sold as a premium tier but delivers the worst reliability of all four shipping modes. This is the single highest-priority delivery issue in the dataset.</w:t>
      </w:r>
    </w:p>
    <w:p w14:paraId="00100122" w14:textId="00100123">
      <w:pPr>
        <w:numPr>
          <w:ilvl w:val="0"/>
          <w:numId w:val="4"/>
        </w:numPr>
        <w:spacing w:after="100"/>
      </w:pPr>
      <w:r>
        <w:rPr>
          <w:sz w:val="22"/>
        </w:rPr>
        <w:t xml:space="preserve">Finding 3: Europe generates the most revenue at $10.87M (29.6% of total), making it the core commercial market. However, market-level profit margins should be compared to identify the best return per dollar.</w:t>
      </w:r>
    </w:p>
    <w:p w14:paraId="00100124" w14:textId="00100125">
      <w:pPr>
        <w:numPr>
          <w:ilvl w:val="0"/>
          <w:numId w:val="4"/>
        </w:numPr>
        <w:spacing w:after="100"/>
      </w:pPr>
      <w:r>
        <w:rPr>
          <w:sz w:val="22"/>
        </w:rPr>
        <w:t xml:space="preserve">Finding 4: Fan Shop is the profit engine of the business, contributing 46.2% of all departmental profit ($1.83M). Within product categories, Fishing ($756K) is the single most profitable category.</w:t>
      </w:r>
    </w:p>
    <w:p w14:paraId="00100126" w14:textId="00100127">
      <w:pPr>
        <w:numPr>
          <w:ilvl w:val="0"/>
          <w:numId w:val="4"/>
        </w:numPr>
        <w:spacing w:after="100"/>
      </w:pPr>
      <w:r>
        <w:rPr>
          <w:sz w:val="22"/>
        </w:rPr>
        <w:t xml:space="preserve">Finding 5: Profit margins are thin and under pressure. The overall margin is 10.78%, but 18.7% of order items (33,784 rows) already generate negative profit — primarily driven by excessive discount rates.</w:t>
      </w:r>
    </w:p>
    <w:p w14:paraId="00100128" w14:textId="00100129">
      <w:pPr>
        <w:numPr>
          <w:ilvl w:val="0"/>
          <w:numId w:val="4"/>
        </w:numPr>
        <w:spacing w:after="100"/>
      </w:pPr>
      <w:r>
        <w:rPr>
          <w:sz w:val="22"/>
        </w:rPr>
        <w:t xml:space="preserve">Finding 6: Central Africa leads with the highest regional late-delivery rate at 58.0%. African logistics infrastructure consistently underperforms compared to Europe and USCA.</w:t>
      </w:r>
    </w:p>
    <w:p w14:paraId="0010012A" w14:textId="0010012B">
      <w:pPr>
        <w:numPr>
          <w:ilvl w:val="0"/>
          <w:numId w:val="4"/>
        </w:numPr>
        <w:spacing w:after="100"/>
      </w:pPr>
      <w:r>
        <w:rPr>
          <w:sz w:val="22"/>
        </w:rPr>
        <w:t xml:space="preserve">Finding 7: The Consumer segment generates 52.3% of total profit despite competing with Corporate and Home Office segments. Losing Consumer segment customers has a disproportionate profit impact.</w:t>
      </w:r>
    </w:p>
    <w:p w14:paraId="0010012C" w14:textId="0010012D">
      <w:pPr>
        <w:numPr>
          <w:ilvl w:val="0"/>
          <w:numId w:val="4"/>
        </w:numPr>
        <w:spacing w:after="100"/>
      </w:pPr>
      <w:r>
        <w:rPr>
          <w:sz w:val="22"/>
        </w:rPr>
        <w:t xml:space="preserve">Finding 8: The average shipping delay of +0.57 days confirms that scheduled delivery promises are systematically optimistic. Standard Class is paradoxically the most reliable mode despite being the slowest and cheapest tier.</w:t>
      </w:r>
    </w:p>
    <w:p w14:paraId="0010012E" w14:textId="001001E4">
      <w:pPr>
        <w:pStyle w:val="Heading1"/>
        <w:pBdr>
          <w:bottom w:val="single" w:color="1F5DA8" w:sz="8" w:space="4"/>
        </w:pBdr>
        <w:spacing w:before="280" w:after="80"/>
      </w:pPr>
      <w:r>
        <w:rPr>
          <w:b/>
          <w:color w:val="1F3864"/>
          <w:sz w:val="28"/>
        </w:rPr>
        <w:t xml:space="preserve">10. Business Recommendations</w:t>
      </w:r>
    </w:p>
    <w:p w14:paraId="00100130" w14:textId="00100131">
      <w:pPr>
        <w:spacing w:after="160"/>
      </w:pPr>
      <w:r>
        <w:rPr>
          <w:sz w:val="22"/>
        </w:rPr>
        <w:t xml:space="preserve">All recommendations below are directly supported by the data findings. Each recommendation is presented alongside its supporting data finding.</w:t>
      </w:r>
    </w:p>
    <w:p w14:paraId="00100132" w14:textId="001001EF">
      <w:pPr>
        <w:pStyle w:val="Heading2"/>
        <w:spacing w:before="200" w:after="60"/>
      </w:pPr>
      <w:r>
        <w:rPr>
          <w:b/>
          <w:color w:val="1F5DA8"/>
          <w:sz w:val="24"/>
        </w:rPr>
        <w:t xml:space="preserve">Recommendation 1 — Investigate and Fix First Class Shipping</w:t>
      </w:r>
    </w:p>
    <w:p w14:paraId="00100134" w14:textId="00100135">
      <w:pPr>
        <w:spacing w:after="60"/>
      </w:pPr>
      <w:r>
        <w:rPr>
          <w:b/>
          <w:sz w:val="22"/>
        </w:rPr>
        <w:t xml:space="preserve">Data Finding: First Class has a 95.3% late-delivery risk rate — near-total failure and the highest-risk mode in the dataset.</w:t>
      </w:r>
    </w:p>
    <w:p w14:paraId="00100136" w14:textId="00100137">
      <w:pPr>
        <w:spacing w:after="160"/>
      </w:pPr>
      <w:r>
        <w:rPr>
          <w:sz w:val="22"/>
        </w:rPr>
        <w:t xml:space="preserve">Recommendation: Conduct a carrier-level audit of all First Class shipments. Compare promised vs. actual delivery windows and either renegotiate SLAs with the carrier or discontinue First Class as an offering until reliability is restored. This is the single highest-priority operational action in the entire dataset.</w:t>
      </w:r>
    </w:p>
    <w:p w14:paraId="00100138" w14:textId="001001F0">
      <w:pPr>
        <w:pStyle w:val="Heading2"/>
        <w:spacing w:before="200" w:after="60"/>
      </w:pPr>
      <w:r>
        <w:rPr>
          <w:b/>
          <w:color w:val="1F5DA8"/>
          <w:sz w:val="24"/>
        </w:rPr>
        <w:t xml:space="preserve">Recommendation 2 — Realign Delivery Schedule Promises to Actual Capability</w:t>
      </w:r>
    </w:p>
    <w:p w14:paraId="0010013A" w14:textId="0010013B">
      <w:pPr>
        <w:spacing w:after="60"/>
      </w:pPr>
      <w:r>
        <w:rPr>
          <w:b/>
          <w:sz w:val="22"/>
        </w:rPr>
        <w:t xml:space="preserve">Data Finding: The average shipping delay is +0.57 days and the overall late-delivery risk rate is 54.83%, both indicating that scheduled delivery windows are systematically too optimistic.</w:t>
      </w:r>
    </w:p>
    <w:p w14:paraId="0010013C" w14:textId="0010013D">
      <w:pPr>
        <w:spacing w:after="160"/>
      </w:pPr>
      <w:r>
        <w:rPr>
          <w:sz w:val="22"/>
        </w:rPr>
        <w:t xml:space="preserve">Recommendation: Add a minimum 1-day buffer to all scheduled shipping times, particularly for Same Day and First Class modes. Accurate delivery promises — even if slightly longer — will reduce customer dissatisfaction more than consistently missed shorter promises.</w:t>
      </w:r>
    </w:p>
    <w:p w14:paraId="0010013E" w14:textId="001001F1">
      <w:pPr>
        <w:pStyle w:val="Heading2"/>
        <w:spacing w:before="200" w:after="60"/>
      </w:pPr>
      <w:r>
        <w:rPr>
          <w:b/>
          <w:color w:val="1F5DA8"/>
          <w:sz w:val="24"/>
        </w:rPr>
        <w:t xml:space="preserve">Recommendation 3 — Prioritise African Logistics Infrastructure</w:t>
      </w:r>
    </w:p>
    <w:p w14:paraId="00100140" w14:textId="00100141">
      <w:pPr>
        <w:spacing w:after="60"/>
      </w:pPr>
      <w:r>
        <w:rPr>
          <w:b/>
          <w:sz w:val="22"/>
        </w:rPr>
        <w:t xml:space="preserve">Data Finding: Central Africa has the highest regional late-delivery rate at 58.0%. African sub-regions consistently outperform other regions in late-delivery risk.</w:t>
      </w:r>
    </w:p>
    <w:p w14:paraId="00100142" w14:textId="00100143">
      <w:pPr>
        <w:spacing w:after="160"/>
      </w:pPr>
      <w:r>
        <w:rPr>
          <w:sz w:val="22"/>
        </w:rPr>
        <w:t xml:space="preserve">Recommendation: Evaluate current carrier agreements, warehouse positioning, and last-mile delivery partners in Africa. Establish region-specific SLAs with measurable improvement targets. The Africa market contributes $4.62M in revenue — unreliable delivery is directly threatening growth potential in this market.</w:t>
      </w:r>
    </w:p>
    <w:p w14:paraId="00100144" w14:textId="001001F2">
      <w:pPr>
        <w:pStyle w:val="Heading2"/>
        <w:spacing w:before="200" w:after="60"/>
      </w:pPr>
      <w:r>
        <w:rPr>
          <w:b/>
          <w:color w:val="1F5DA8"/>
          <w:sz w:val="24"/>
        </w:rPr>
        <w:t xml:space="preserve">Recommendation 4 — Review Low-Margin High-Volume Products</w:t>
      </w:r>
    </w:p>
    <w:p w14:paraId="00100146" w14:textId="00100147">
      <w:pPr>
        <w:spacing w:after="60"/>
      </w:pPr>
      <w:r>
        <w:rPr>
          <w:b/>
          <w:sz w:val="22"/>
        </w:rPr>
        <w:t xml:space="preserve">Data Finding: Several high-volume products generate dangerously thin margins — Men's gala suit (4.57%), DVDs (8.38%), Adult dog supplies (8.64%). These products consume warehouse space, logistics capacity, and operational effort without delivering proportionate profit.</w:t>
      </w:r>
    </w:p>
    <w:p w14:paraId="00100148" w14:textId="00100149">
      <w:pPr>
        <w:spacing w:after="160"/>
      </w:pPr>
      <w:r>
        <w:rPr>
          <w:sz w:val="22"/>
        </w:rPr>
        <w:t xml:space="preserve">Recommendation: Review pricing on these SKUs, negotiate better cost of goods, or reduce promotional discounts. If margins cannot be improved to above 10%, consider delisting or repositioning these products. Volume without profitability is a hidden operational cost.</w:t>
      </w:r>
    </w:p>
    <w:p w14:paraId="0010014A" w14:textId="001001F3">
      <w:pPr>
        <w:pStyle w:val="Heading2"/>
        <w:spacing w:before="200" w:after="60"/>
      </w:pPr>
      <w:r>
        <w:rPr>
          <w:b/>
          <w:color w:val="1F5DA8"/>
          <w:sz w:val="24"/>
        </w:rPr>
        <w:t xml:space="preserve">Recommendation 5 — Protect Consumer Segment Retention</w:t>
      </w:r>
    </w:p>
    <w:p w14:paraId="0010014C" w14:textId="0010014D">
      <w:pPr>
        <w:spacing w:after="60"/>
      </w:pPr>
      <w:r>
        <w:rPr>
          <w:b/>
          <w:sz w:val="22"/>
        </w:rPr>
        <w:t xml:space="preserve">Data Finding: The Consumer segment contributes 52.3% of total profit — more than Corporate and Home Office combined.</w:t>
      </w:r>
    </w:p>
    <w:p w14:paraId="0010014E" w14:textId="0010014F">
      <w:pPr>
        <w:spacing w:after="160"/>
      </w:pPr>
      <w:r>
        <w:rPr>
          <w:sz w:val="22"/>
        </w:rPr>
        <w:t xml:space="preserve">Recommendation: Build a dedicated customer retention programme for the Consumer segment including loyalty incentives, proactive communication on delayed orders, and personalised offers. A 1% improvement in Consumer segment retention has a larger profit impact than comparable improvements in either of the other two segments.</w:t>
      </w:r>
    </w:p>
    <w:p w14:paraId="00100150" w14:textId="001001F4">
      <w:pPr>
        <w:pStyle w:val="Heading2"/>
        <w:spacing w:before="200" w:after="60"/>
      </w:pPr>
      <w:r>
        <w:rPr>
          <w:b/>
          <w:color w:val="1F5DA8"/>
          <w:sz w:val="24"/>
        </w:rPr>
        <w:t xml:space="preserve">Recommendation 6 — Implement Discount Guardrails</w:t>
      </w:r>
    </w:p>
    <w:p w14:paraId="00100152" w14:textId="00100153">
      <w:pPr>
        <w:spacing w:after="60"/>
      </w:pPr>
      <w:r>
        <w:rPr>
          <w:b/>
          <w:sz w:val="22"/>
        </w:rPr>
        <w:t xml:space="preserve">Data Finding: 18.7% of order items (33,784 rows) operate at negative profit. The overall profit margin is only 10.78%, leaving little room for aggressive discounting.</w:t>
      </w:r>
    </w:p>
    <w:p w14:paraId="00100154" w14:textId="00100155">
      <w:pPr>
        <w:spacing w:after="160"/>
      </w:pPr>
      <w:r>
        <w:rPr>
          <w:sz w:val="22"/>
        </w:rPr>
        <w:t xml:space="preserve">Recommendation: Set maximum discount thresholds per category (recommended: 15% for standard products, 10% for high-margin categories such as Fishing). Require manager approval for any discount exceeding 20%. The 18.7% negative-profit rate is already damaging margins at scale and must be addressed with policy enforcement.</w:t>
      </w:r>
    </w:p>
    <w:p w14:paraId="00100156" w14:textId="001001F5">
      <w:pPr>
        <w:pStyle w:val="Heading2"/>
        <w:spacing w:before="200" w:after="60"/>
      </w:pPr>
      <w:r>
        <w:rPr>
          <w:b/>
          <w:color w:val="1F5DA8"/>
          <w:sz w:val="24"/>
        </w:rPr>
        <w:t xml:space="preserve">Recommendation 7 — Protect Fan Shop and Fishing Category Profitability</w:t>
      </w:r>
    </w:p>
    <w:p w14:paraId="00100158" w14:textId="00100159">
      <w:pPr>
        <w:spacing w:after="60"/>
      </w:pPr>
      <w:r>
        <w:rPr>
          <w:b/>
          <w:sz w:val="22"/>
        </w:rPr>
        <w:t xml:space="preserve">Data Finding: Fan Shop ($1.83M) and Fishing ($756K) are the two highest-profit business units in the dataset, representing a disproportionate share of total profit.</w:t>
      </w:r>
    </w:p>
    <w:p w14:paraId="0010015A" w14:textId="0010015B">
      <w:pPr>
        <w:spacing w:after="160"/>
      </w:pPr>
      <w:r>
        <w:rPr>
          <w:sz w:val="22"/>
        </w:rPr>
        <w:t xml:space="preserve">Recommendation: Ensure these categories maintain pricing integrity, do not receive blanket promotional discounts, and have consistent product availability. These categories should not be used as loss leaders. Any pricing experiment in these categories should be A/B tested before broad rollout.</w:t>
      </w:r>
    </w:p>
    <w:p w14:paraId="0010015C" w14:textId="001001F6">
      <w:pPr>
        <w:pStyle w:val="Heading2"/>
        <w:spacing w:before="200" w:after="60"/>
      </w:pPr>
      <w:r>
        <w:rPr>
          <w:b/>
          <w:color w:val="1F5DA8"/>
          <w:sz w:val="24"/>
        </w:rPr>
        <w:t xml:space="preserve">Recommendation 8 — Build a Delivery Performance Scorecard</w:t>
      </w:r>
    </w:p>
    <w:p w14:paraId="0010015E" w14:textId="0010015F">
      <w:pPr>
        <w:spacing w:after="60"/>
      </w:pPr>
      <w:r>
        <w:rPr>
          <w:b/>
          <w:sz w:val="22"/>
        </w:rPr>
        <w:t xml:space="preserve">Data Finding: Delivery performance is the primary operational risk in the dataset — 54.8% overall late-delivery risk — and no consistent monitoring mechanism is currently evident from the data.</w:t>
      </w:r>
    </w:p>
    <w:p w14:paraId="00100160" w14:textId="00100161">
      <w:pPr>
        <w:spacing w:after="160"/>
      </w:pPr>
      <w:r>
        <w:rPr>
          <w:sz w:val="22"/>
        </w:rPr>
        <w:t xml:space="preserve">Recommendation: Implement a weekly delivery performance dashboard tracked by shipping mode, region, and carrier. Set alert thresholds — for example, any shipping mode exceeding 60% late-delivery risk should trigger an escalation review. The Streamlit dashboard built in this project provides a starting template for this monitoring infrastructure.</w:t>
      </w:r>
    </w:p>
    <w:p w14:paraId="00100162" w14:textId="001001E5">
      <w:pPr>
        <w:pStyle w:val="Heading1"/>
        <w:pBdr>
          <w:bottom w:val="single" w:color="1F5DA8" w:sz="8" w:space="4"/>
        </w:pBdr>
        <w:spacing w:before="280" w:after="80"/>
      </w:pPr>
      <w:r>
        <w:rPr>
          <w:b/>
          <w:color w:val="1F3864"/>
          <w:sz w:val="28"/>
        </w:rPr>
        <w:t xml:space="preserve">11. Technologies Used</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64" w14:textId="00100165">
            <w:r>
              <w:t xml:space="preserve">Library / Tool</w:t>
            </w:r>
          </w:p>
        </w:tc>
        <w:tc>
          <w:p w14:paraId="00100166" w14:textId="00100167">
            <w:r>
              <w:t xml:space="preserve">Purpose</w:t>
            </w:r>
          </w:p>
        </w:tc>
      </w:tr>
      <w:tr>
        <w:trPr/>
        <w:tc>
          <w:p w14:paraId="00100168" w14:textId="00100169">
            <w:r>
              <w:t xml:space="preserve">Python 3.12</w:t>
            </w:r>
          </w:p>
        </w:tc>
        <w:tc>
          <w:p w14:paraId="0010016A" w14:textId="0010016B">
            <w:r>
              <w:t xml:space="preserve">Primary programming language</w:t>
            </w:r>
          </w:p>
        </w:tc>
      </w:tr>
      <w:tr>
        <w:trPr/>
        <w:tc>
          <w:p w14:paraId="0010016C" w14:textId="0010016D">
            <w:r>
              <w:t xml:space="preserve">Pandas</w:t>
            </w:r>
          </w:p>
        </w:tc>
        <w:tc>
          <w:p w14:paraId="0010016E" w14:textId="0010016F">
            <w:r>
              <w:t xml:space="preserve">Data loading, cleaning, manipulation, and aggregation</w:t>
            </w:r>
          </w:p>
        </w:tc>
      </w:tr>
      <w:tr>
        <w:trPr/>
        <w:tc>
          <w:p w14:paraId="00100170" w14:textId="00100171">
            <w:r>
              <w:t xml:space="preserve">NumPy</w:t>
            </w:r>
          </w:p>
        </w:tc>
        <w:tc>
          <w:p w14:paraId="00100172" w14:textId="00100173">
            <w:r>
              <w:t xml:space="preserve">Numerical calculations</w:t>
            </w:r>
          </w:p>
        </w:tc>
      </w:tr>
      <w:tr>
        <w:trPr/>
        <w:tc>
          <w:p w14:paraId="00100174" w14:textId="00100175">
            <w:r>
              <w:t xml:space="preserve">Plotly</w:t>
            </w:r>
          </w:p>
        </w:tc>
        <w:tc>
          <w:p w14:paraId="00100176" w14:textId="00100177">
            <w:r>
              <w:t xml:space="preserve">Interactive charts in the Streamlit dashboard and Jupyter notebook</w:t>
            </w:r>
          </w:p>
        </w:tc>
      </w:tr>
      <w:tr>
        <w:trPr/>
        <w:tc>
          <w:p w14:paraId="00100178" w14:textId="00100179">
            <w:r>
              <w:t xml:space="preserve">Streamlit</w:t>
            </w:r>
          </w:p>
        </w:tc>
        <w:tc>
          <w:p w14:paraId="0010017A" w14:textId="0010017B">
            <w:r>
              <w:t xml:space="preserve">Interactive web dashboard</w:t>
            </w:r>
          </w:p>
        </w:tc>
      </w:tr>
      <w:tr>
        <w:trPr/>
        <w:tc>
          <w:p w14:paraId="0010017C" w14:textId="0010017D">
            <w:r>
              <w:t xml:space="preserve">Matplotlib</w:t>
            </w:r>
          </w:p>
        </w:tc>
        <w:tc>
          <w:p w14:paraId="0010017E" w14:textId="0010017F">
            <w:r>
              <w:t xml:space="preserve">Static charts in the Jupyter notebook</w:t>
            </w:r>
          </w:p>
        </w:tc>
      </w:tr>
      <w:tr>
        <w:trPr/>
        <w:tc>
          <w:p w14:paraId="00100180" w14:textId="00100181">
            <w:r>
              <w:t xml:space="preserve">Seaborn</w:t>
            </w:r>
          </w:p>
        </w:tc>
        <w:tc>
          <w:p w14:paraId="00100182" w14:textId="00100183">
            <w:r>
              <w:t xml:space="preserve">Statistical visualisation styling</w:t>
            </w:r>
          </w:p>
        </w:tc>
      </w:tr>
      <w:tr>
        <w:trPr/>
        <w:tc>
          <w:p w14:paraId="00100184" w14:textId="00100185">
            <w:r>
              <w:t xml:space="preserve">Jupyter Notebook</w:t>
            </w:r>
          </w:p>
        </w:tc>
        <w:tc>
          <w:p w14:paraId="00100186" w14:textId="00100187">
            <w:r>
              <w:t xml:space="preserve">Analytical workflow documentation</w:t>
            </w:r>
          </w:p>
        </w:tc>
      </w:tr>
      <w:tr>
        <w:trPr/>
        <w:tc>
          <w:p w14:paraId="00100188" w14:textId="00100189">
            <w:r>
              <w:t xml:space="preserve">python-pptx</w:t>
            </w:r>
          </w:p>
        </w:tc>
        <w:tc>
          <w:p w14:paraId="0010018A" w14:textId="0010018B">
            <w:r>
              <w:t xml:space="preserve">PowerPoint generation</w:t>
            </w:r>
          </w:p>
        </w:tc>
      </w:tr>
      <w:tr>
        <w:trPr/>
        <w:tc>
          <w:p w14:paraId="0010018C" w14:textId="0010018D">
            <w:r>
              <w:t xml:space="preserve">openpyxl</w:t>
            </w:r>
          </w:p>
        </w:tc>
        <w:tc>
          <w:p w14:paraId="0010018E" w14:textId="0010018F">
            <w:r>
              <w:t xml:space="preserve">Excel compatibility</w:t>
            </w:r>
          </w:p>
        </w:tc>
      </w:tr>
    </w:tbl>
    <w:p w14:paraId="00100190" w14:textId="001001E6">
      <w:pPr>
        <w:pStyle w:val="Heading1"/>
        <w:pBdr>
          <w:bottom w:val="single" w:color="1F5DA8" w:sz="8" w:space="4"/>
        </w:pBdr>
        <w:spacing w:before="280" w:after="80"/>
      </w:pPr>
      <w:r>
        <w:rPr>
          <w:b/>
          <w:color w:val="1F3864"/>
          <w:sz w:val="28"/>
        </w:rPr>
        <w:t xml:space="preserve">12. Project File Structure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92" w14:textId="00100193">
            <w:r>
              <w:t xml:space="preserve">File</w:t>
            </w:r>
          </w:p>
        </w:tc>
        <w:tc>
          <w:p w14:paraId="00100194" w14:textId="00100195">
            <w:r>
              <w:t xml:space="preserve">Description</w:t>
            </w:r>
          </w:p>
        </w:tc>
      </w:tr>
      <w:tr>
        <w:trPr/>
        <w:tc>
          <w:p w14:paraId="00100196" w14:textId="00100197">
            <w:r>
              <w:t xml:space="preserve">DataCoSupplyChainDataset.csv</w:t>
            </w:r>
          </w:p>
        </w:tc>
        <w:tc>
          <w:p w14:paraId="00100198" w14:textId="00100199">
            <w:r>
              <w:t xml:space="preserve">Raw dataset — source file, never modified</w:t>
            </w:r>
          </w:p>
        </w:tc>
      </w:tr>
      <w:tr>
        <w:trPr/>
        <w:tc>
          <w:p w14:paraId="0010019A" w14:textId="0010019B">
            <w:r>
              <w:t xml:space="preserve">analysis.py</w:t>
            </w:r>
          </w:p>
        </w:tc>
        <w:tc>
          <w:p w14:paraId="0010019C" w14:textId="0010019D">
            <w:r>
              <w:t xml:space="preserve">Central analysis module — single source of truth for load, clean, engineer, KPIs, and analysis functions</w:t>
            </w:r>
          </w:p>
        </w:tc>
      </w:tr>
      <w:tr>
        <w:trPr/>
        <w:tc>
          <w:p w14:paraId="0010019E" w14:textId="0010019F">
            <w:r>
              <w:t xml:space="preserve">app.py</w:t>
            </w:r>
          </w:p>
        </w:tc>
        <w:tc>
          <w:p w14:paraId="001001A0" w14:textId="001001A1">
            <w:r>
              <w:t xml:space="preserve">Streamlit interactive dashboard (9 tabs)</w:t>
            </w:r>
          </w:p>
        </w:tc>
      </w:tr>
      <w:tr>
        <w:trPr/>
        <w:tc>
          <w:p w14:paraId="001001A2" w14:textId="001001A3">
            <w:r>
              <w:t xml:space="preserve">DataCo_Supply_Chain_Analytics.ipynb</w:t>
            </w:r>
          </w:p>
        </w:tc>
        <w:tc>
          <w:p w14:paraId="001001A4" w14:textId="001001A5">
            <w:r>
              <w:t xml:space="preserve">Jupyter notebook with complete analytical workflow (submitted as code file)</w:t>
            </w:r>
          </w:p>
        </w:tc>
      </w:tr>
      <w:tr>
        <w:trPr/>
        <w:tc>
          <w:p w14:paraId="001001A6" w14:textId="001001A7">
            <w:r>
              <w:t xml:space="preserve">DataCo_Supply_Chain_Analytics.pptx</w:t>
            </w:r>
          </w:p>
        </w:tc>
        <w:tc>
          <w:p w14:paraId="001001A8" w14:textId="001001A9">
            <w:r>
              <w:t xml:space="preserve">PowerPoint presentation summary</w:t>
            </w:r>
          </w:p>
        </w:tc>
      </w:tr>
      <w:tr>
        <w:trPr/>
        <w:tc>
          <w:p w14:paraId="001001AA" w14:textId="001001AB">
            <w:r>
              <w:t xml:space="preserve">requirements.txt</w:t>
            </w:r>
          </w:p>
        </w:tc>
        <w:tc>
          <w:p w14:paraId="001001AC" w14:textId="001001AD">
            <w:r>
              <w:t xml:space="preserve">List of Python dependencies required to run the project</w:t>
            </w:r>
          </w:p>
        </w:tc>
      </w:tr>
      <w:tr>
        <w:trPr/>
        <w:tc>
          <w:p w14:paraId="001001AE" w14:textId="001001AF">
            <w:r>
              <w:t xml:space="preserve">README.md</w:t>
            </w:r>
          </w:p>
        </w:tc>
        <w:tc>
          <w:p w14:paraId="001001B0" w14:textId="001001B1">
            <w:r>
              <w:t xml:space="preserve">Project overview, setup instructions, and how-to-run guide</w:t>
            </w:r>
          </w:p>
        </w:tc>
      </w:tr>
    </w:tbl>
    <w:p w14:paraId="001001B2" w14:textId="001001E7">
      <w:pPr>
        <w:pStyle w:val="Heading1"/>
        <w:pBdr>
          <w:bottom w:val="single" w:color="1F5DA8" w:sz="8" w:space="4"/>
        </w:pBdr>
        <w:spacing w:before="280" w:after="80"/>
      </w:pPr>
      <w:r>
        <w:rPr>
          <w:b/>
          <w:color w:val="1F3864"/>
          <w:sz w:val="28"/>
        </w:rPr>
        <w:t xml:space="preserve">13. Limitations</w:t>
      </w:r>
    </w:p>
    <w:p w14:paraId="001001B4" w14:textId="001001B5">
      <w:pPr>
        <w:numPr>
          <w:ilvl w:val="0"/>
          <w:numId w:val="5"/>
        </w:numPr>
        <w:spacing w:after="60"/>
      </w:pPr>
      <w:r>
        <w:rPr>
          <w:sz w:val="22"/>
        </w:rPr>
        <w:t xml:space="preserve">Product Description column was entirely empty (100% missing) and was dropped — no product narrative text is available for analysis.</w:t>
      </w:r>
    </w:p>
    <w:p w14:paraId="001001B6" w14:textId="001001B7">
      <w:pPr>
        <w:numPr>
          <w:ilvl w:val="0"/>
          <w:numId w:val="5"/>
        </w:numPr>
        <w:spacing w:after="60"/>
      </w:pPr>
      <w:r>
        <w:rPr>
          <w:sz w:val="22"/>
        </w:rPr>
        <w:t xml:space="preserve">Order Zipcode is missing for approximately 86% of rows and was not used in analysis.</w:t>
      </w:r>
    </w:p>
    <w:p w14:paraId="001001B8" w14:textId="001001B9">
      <w:pPr>
        <w:numPr>
          <w:ilvl w:val="0"/>
          <w:numId w:val="5"/>
        </w:numPr>
        <w:spacing w:after="60"/>
      </w:pPr>
      <w:r>
        <w:rPr>
          <w:sz w:val="22"/>
        </w:rPr>
        <w:t xml:space="preserve">Late delivery risk is based on the Delivery Status column. The Late_delivery_risk binary flag in the source data is a model prediction — both are available for cross-checking but may differ slightly.</w:t>
      </w:r>
    </w:p>
    <w:p w14:paraId="001001BA" w14:textId="001001BB">
      <w:pPr>
        <w:numPr>
          <w:ilvl w:val="0"/>
          <w:numId w:val="5"/>
        </w:numPr>
        <w:spacing w:after="60"/>
      </w:pPr>
      <w:r>
        <w:rPr>
          <w:sz w:val="22"/>
        </w:rPr>
        <w:t xml:space="preserve">Geographic map charts are not implemented — Plotly Mapbox requires an API token. Region and country bar charts are used instead.</w:t>
      </w:r>
    </w:p>
    <w:p w14:paraId="001001BC" w14:textId="001001BD">
      <w:pPr>
        <w:numPr>
          <w:ilvl w:val="0"/>
          <w:numId w:val="5"/>
        </w:numPr>
        <w:spacing w:after="60"/>
      </w:pPr>
      <w:r>
        <w:rPr>
          <w:sz w:val="22"/>
        </w:rPr>
        <w:t xml:space="preserve">Data covers 2015–2018 only. Conclusions may not reflect current supply chain conditions, particularly given post-2020 global logistics disruptions.</w:t>
      </w:r>
    </w:p>
    <w:p w14:paraId="001001BE" w14:textId="001001BF">
      <w:pPr>
        <w:numPr>
          <w:ilvl w:val="0"/>
          <w:numId w:val="5"/>
        </w:numPr>
        <w:spacing w:after="160"/>
      </w:pPr>
      <w:r>
        <w:rPr>
          <w:sz w:val="22"/>
        </w:rPr>
        <w:t xml:space="preserve">No supplier-level data is available — supplier performance analysis cannot be performed.</w:t>
      </w:r>
    </w:p>
    <w:p w14:paraId="001001C0" w14:textId="001001E8">
      <w:pPr>
        <w:pStyle w:val="Heading1"/>
        <w:pBdr>
          <w:bottom w:val="single" w:color="1F5DA8" w:sz="8" w:space="4"/>
        </w:pBdr>
        <w:spacing w:before="280" w:after="80"/>
      </w:pPr>
      <w:r>
        <w:rPr>
          <w:b/>
          <w:color w:val="1F3864"/>
          <w:sz w:val="28"/>
        </w:rPr>
        <w:t xml:space="preserve">14. How to Run the Project</w:t>
      </w:r>
    </w:p>
    <w:p w14:paraId="001001C2" w14:textId="001001C3">
      <w:pPr>
        <w:spacing w:after="40"/>
      </w:pPr>
      <w:r>
        <w:rPr>
          <w:b/>
          <w:sz w:val="22"/>
        </w:rPr>
        <w:t xml:space="preserve">Step 1 — Install dependencies:</w:t>
      </w:r>
    </w:p>
    <w:p w14:paraId="001001C4" w14:textId="001001C5">
      <w:pPr>
        <w:spacing w:after="120"/>
      </w:pPr>
      <w:r>
        <w:rPr>
          <w:sz w:val="22"/>
        </w:rPr>
        <w:t xml:space="preserve">pip install -r requirements.txt</w:t>
      </w:r>
    </w:p>
    <w:p w14:paraId="001001C6" w14:textId="001001C7">
      <w:pPr>
        <w:spacing w:after="40"/>
      </w:pPr>
      <w:r>
        <w:rPr>
          <w:b/>
          <w:sz w:val="22"/>
        </w:rPr>
        <w:t xml:space="preserve">Step 2 — Launch the Streamlit dashboard:</w:t>
      </w:r>
    </w:p>
    <w:p w14:paraId="001001C8" w14:textId="001001C9">
      <w:pPr>
        <w:spacing w:after="80"/>
      </w:pPr>
      <w:r>
        <w:rPr>
          <w:sz w:val="22"/>
        </w:rPr>
        <w:t xml:space="preserve">streamlit run app.py</w:t>
      </w:r>
    </w:p>
    <w:p w14:paraId="001001CA" w14:textId="001001CB">
      <w:pPr>
        <w:spacing w:after="120"/>
      </w:pPr>
      <w:r>
        <w:rPr>
          <w:sz w:val="22"/>
        </w:rPr>
        <w:t xml:space="preserve">The Streamlit dashboard opens automatically at http://localhost:8501</w:t>
      </w:r>
    </w:p>
    <w:p w14:paraId="001001CC" w14:textId="001001CD">
      <w:pPr>
        <w:spacing w:after="40"/>
      </w:pPr>
      <w:r>
        <w:rPr>
          <w:b/>
          <w:sz w:val="22"/>
        </w:rPr>
        <w:t xml:space="preserve">Step 3 — Open the Jupyter notebook:</w:t>
      </w:r>
    </w:p>
    <w:p w14:paraId="001001CE" w14:textId="001001CF">
      <w:pPr>
        <w:spacing w:after="120"/>
      </w:pPr>
      <w:r>
        <w:rPr>
          <w:sz w:val="22"/>
        </w:rPr>
        <w:t xml:space="preserve">jupyter notebook DataCo_Supply_Chain_Analytics.ipynb</w:t>
      </w:r>
    </w:p>
    <w:p w14:paraId="001001D0" w14:textId="001001D1">
      <w:pPr>
        <w:spacing w:after="40"/>
      </w:pPr>
      <w:r>
        <w:rPr>
          <w:b/>
          <w:sz w:val="22"/>
        </w:rPr>
        <w:t xml:space="preserve">Step 4 — Run analysis module directly (self-test):</w:t>
      </w:r>
    </w:p>
    <w:p w14:paraId="001001D2" w14:textId="001001F9">
      <w:pPr>
        <w:spacing w:before="280" w:after="120"/>
        <w:jc w:val="center"/>
      </w:pPr>
      <w:r>
        <w:rPr>
          <w:b/>
          <w:color w:val="1F3864"/>
          <w:sz w:val="24"/>
        </w:rPr>
        <w:t xml:space="preserve">python analysis.py</w:t>
      </w:r>
    </w:p>
    <w:p w14:paraId="001001D4" w14:textId="001001FA">
      <w:pPr>
        <w:pBdr>
          <w:top w:val="single" w:color="CCCCCC" w:sz="4" w:space="4"/>
        </w:pBdr>
        <w:spacing w:before="320" w:after="80"/>
        <w:jc w:val="center"/>
      </w:pPr>
      <w:r>
        <w:rPr>
          <w:b w:val="false"/>
          <w:i/>
          <w:color w:val="595959"/>
          <w:sz w:val="22"/>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1"/>
    <w:basedOn w:val="Normal"/>
    <w:rPr>
      <w:rFonts w:ascii="Calibri" w:hAnsi="Calibri" w:eastAsia="Calibri"/>
      <w:b/>
      <w:color w:val="1F3864"/>
      <w:sz w:val="28"/>
    </w:rPr>
  </w:style>
  <w:style w:type="paragraph" w:styleId="Heading2">
    <w:name w:val="Heading2"/>
    <w:basedOn w:val="Normal"/>
    <w:rPr>
      <w:rFonts w:ascii="Calibri" w:hAnsi="Calibri" w:eastAsia="Calibri"/>
      <w:b/>
      <w:color w:val="1F5DA8"/>
      <w:sz w:val="24"/>
    </w:rPr>
  </w:style>
</w:styles>
</file>

<file path=word/_rels/document.xml.rels>&#65279;<?xml version="1.0" encoding="utf-8"?><Relationships xmlns="http://schemas.openxmlformats.org/package/2006/relationships"><Relationship Type="http://schemas.openxmlformats.org/officeDocument/2006/relationships/settings" Target="/word/settings.xml" Id="R273520d93e0743de" /><Relationship Type="http://schemas.openxmlformats.org/officeDocument/2006/relationships/styles" Target="/word/styles.xml" Id="R75cff39a0fcd48e6" /><Relationship Type="http://schemas.openxmlformats.org/officeDocument/2006/relationships/theme" Target="/word/theme/theme1.xml" Id="R8a55ac12a857461b" /><Relationship Type="http://schemas.openxmlformats.org/officeDocument/2006/relationships/numbering" Target="/word/numbering.xml" Id="Rb855bfdc171f4de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OfficeCLI/1.0.151</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2026-09-23T12:04:45Z</dcterms:created>
  <cp:lastModifiedBy>OfficeCLI</cp:lastModifiedBy>
  <dcterms:modified xsi:type="dcterms:W3CDTF">2026-09-23T12:04:45Z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2026-09-23T12:16:35Z</vt:lpwstr>
  </op:property>
</op:Properties>
</file>