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Единая стратегия коммерческого отдела и маркетинга</w:t>
      </w:r>
    </w:p>
    <w:p>
      <w:pPr>
        <w:spacing w:after="100"/>
      </w:pPr>
      <w:r>
        <w:t>Компании: ТОО «Стар Билдинг» и Grand Construction</w:t>
      </w:r>
    </w:p>
    <w:p>
      <w:pPr>
        <w:spacing w:after="100"/>
      </w:pPr>
      <w:r>
        <w:t>Горизонт: до конца 2026 года; направления развития на 2027 год</w:t>
      </w:r>
    </w:p>
    <w:p>
      <w:pPr>
        <w:spacing w:after="100"/>
      </w:pPr>
      <w:r>
        <w:t>Статус: рабочая версия для утверждения Генеральным директором</w:t>
      </w:r>
    </w:p>
    <w:p>
      <w:pPr>
        <w:spacing w:after="100"/>
      </w:pPr>
      <w:r>
        <w:t>Владелец: Коммерческий директор</w:t>
      </w:r>
    </w:p>
    <w:p>
      <w:pPr>
        <w:spacing w:after="100"/>
      </w:pPr>
      <w:r>
        <w:t>Участники: Генеральный директор, собственник, Коммерческий директор, РОП, руководитель производства, технический блок, маркетинг, менеджер по тендерам</w:t>
      </w:r>
    </w:p>
    <w:p>
      <w:pPr>
        <w:pStyle w:val="Heading1"/>
      </w:pPr>
      <w:r>
        <w:t>1. Резюме для руководства</w:t>
      </w:r>
    </w:p>
    <w:p>
      <w:pPr>
        <w:spacing w:after="100"/>
      </w:pPr>
      <w:r>
        <w:t>Цель — построить единую коммерческо-производственную систему, способную устойчиво продавать, производить, отгружать и получать оплату за 500 тонн ЛСТК в месяц / 6000 тонн в год. Производство стартовало в 2025 году, за год выпущено около 1000 тонн, средний темп — около 83 тонн в месяц. Следовательно, достижение целевого уровня требует примерно шестикратного роста относительно среднего темпа первого года.</w:t>
      </w:r>
    </w:p>
    <w:p>
      <w:pPr>
        <w:spacing w:after="100"/>
      </w:pPr>
      <w:r>
        <w:t>Подписано договоров примерно на 600 тонн, однако портфель пока не привязан к единому производственному графику. Это создаёт главный текущий риск: коммерческий отдел может обещать сроки, которые производство не подтвердило. Ближайшая задача — распределить все договоры по производственным слотам, провести аудит мощности, определить узкие места оборудования и персонала и связать Битрикс24 с производственным планированием.</w:t>
      </w:r>
    </w:p>
    <w:p>
      <w:pPr>
        <w:spacing w:after="100"/>
      </w:pPr>
      <w:r>
        <w:t>Коммерческая модель строится на среднем заказе 50–60 тонн и цикле сделки 2–3 месяца. Для уровня 500 тонн требуется около 9–10 выигранных сделок в месяц и квалифицированная воронка не менее 1000–1500 тонн, а для устойчивости — около 2000 тонн. Маркетинг отвечает не за общий охват, а за целевые компании, квалифицированные возможности и тоннаж.</w:t>
      </w:r>
    </w:p>
    <w:p>
      <w:pPr>
        <w:pStyle w:val="Heading1"/>
      </w:pPr>
      <w:r>
        <w:t>2. Исходные данные и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Состояние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Вывод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Начало производства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2025 год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Компания находится на стадии промышленного становления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Выпуск за 2025 год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около 1000 т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Средний темп около 83 т/мес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Подписанные договоры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около 600 т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Требуется немедленная привязка к графику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Целевой выпуск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500 т/мес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Цель одновременно коммерческая и производственная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Средний заказ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50–60 т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Для 500 т нужно около 9–10 побед в месяц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Цикл сделки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2–3 месяца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Воронка формируется минимум за квартал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Оборудование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имеется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Нужны наладка, люди, сменность, контроль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Маржинальность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около 25%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Есть финансовый люфт, но требуется проверка экономики по проектам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Бренд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зависим от собственника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Экспертизу и отношения нужно передать системе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Маркетинговый бюджет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поэтапный план 450–1050 тыс. ₸/мес., ожидает утверждения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Масштабирование только после контрольных рубежей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Государственный рынок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ЛСТК слабо представлен в базах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Нужен отдельный нормативно-технический проект</w:t>
            </w:r>
          </w:p>
        </w:tc>
      </w:tr>
    </w:tbl>
    <w:p>
      <w:pPr>
        <w:pStyle w:val="Heading2"/>
      </w:pPr>
      <w:r>
        <w:t>2.1. Главный принцип</w:t>
      </w:r>
    </w:p>
    <w:p>
      <w:pPr>
        <w:spacing w:after="100"/>
      </w:pPr>
      <w:r>
        <w:t>Единицей управления являются не лиды и не подписанные договоры по отдельности, а цепочка:</w:t>
      </w:r>
    </w:p>
    <w:p>
      <w:pPr>
        <w:ind w:left="454"/>
      </w:pPr>
      <w:r>
        <w:rPr>
          <w:i/>
          <w:color w:val="0F766E"/>
        </w:rPr>
        <w:t>спрос → квалификация → договор → подтверждённый производственный слот → проектирование → снабжение → производство → отгрузка → монтаж → оплата.</w:t>
      </w:r>
    </w:p>
    <w:p>
      <w:pPr>
        <w:pStyle w:val="Heading2"/>
      </w:pPr>
      <w:r>
        <w:t>2.2. Стоп-факторы</w:t>
      </w:r>
    </w:p>
    <w:p>
      <w:pPr>
        <w:pStyle w:val="ListBullet"/>
      </w:pPr>
      <w:r>
        <w:t>Запрещено обещать окончательный срок без подтверждения производством.</w:t>
      </w:r>
    </w:p>
    <w:p>
      <w:pPr>
        <w:pStyle w:val="ListBullet"/>
      </w:pPr>
      <w:r>
        <w:t>Запрещено передавать заказ в производство сообщением в мессенджере.</w:t>
      </w:r>
    </w:p>
    <w:p>
      <w:pPr>
        <w:pStyle w:val="ListBullet"/>
      </w:pPr>
      <w:r>
        <w:t>Запрещено учитывать тендер как гарантированный объём до подписания договора и подтверждения финансирования.</w:t>
      </w:r>
    </w:p>
    <w:p>
      <w:pPr>
        <w:pStyle w:val="ListBullet"/>
      </w:pPr>
      <w:r>
        <w:t>Запрещено наращивать продажи быстрее подтверждённой производственной мощности.</w:t>
      </w:r>
    </w:p>
    <w:p>
      <w:pPr>
        <w:pStyle w:val="ListBullet"/>
      </w:pPr>
      <w:r>
        <w:t>Запрещено использовать созданное ИИ изображение как доказательство построенного объекта.</w:t>
      </w:r>
    </w:p>
    <w:p>
      <w:pPr>
        <w:pStyle w:val="Heading1"/>
      </w:pPr>
      <w:r>
        <w:t>3. Цели и ключевые результаты</w:t>
      </w:r>
    </w:p>
    <w:p>
      <w:pPr>
        <w:pStyle w:val="Heading2"/>
      </w:pPr>
      <w:r>
        <w:t>3.1. Цель до конца 2026 года</w:t>
      </w:r>
    </w:p>
    <w:p>
      <w:pPr>
        <w:spacing w:after="100"/>
      </w:pPr>
      <w:r>
        <w:t>Создать управляемую систему и подтвердить рабочую ступень мощности, позволяющую безопасно двигаться к 500 тоннам в месяц.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Ключевой результат</w:t>
            </w:r>
          </w:p>
        </w:tc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Целевое состояние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Портфель 600 тонн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100% договоров распределены по слотам и рискам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Битрикс24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100% активных возможностей имеют тоннаж, срок, следующий шаг и ответственного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Производственное планирование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действуют горизонты 13/8/4/1 неделя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Прогноз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еженедельный прогноз продаж, выпуска, отгрузки и оплат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Воронка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1000–2000 квалифицированных тонн с вероятностью и сроком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Команда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утверждены роли; нанят B2B-менеджер при подтверждённой нагрузке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Зависимость от собственника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собственник подключается к ключевым, но не ведёт обычные сделки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Маркетинг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измеряется квалифицированными компаниями и тоннами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Астана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подтверждена карта рынка и набор объектов до решения об офисе</w:t>
            </w:r>
          </w:p>
        </w:tc>
      </w:tr>
    </w:tbl>
    <w:p>
      <w:pPr>
        <w:pStyle w:val="Heading2"/>
      </w:pPr>
      <w:r>
        <w:t>3.2. Цель 2027 года</w:t>
      </w:r>
    </w:p>
    <w:p>
      <w:pPr>
        <w:pStyle w:val="ListBullet"/>
      </w:pPr>
      <w:r>
        <w:t>выйти на устойчивый производственный и коммерческий темп до 500 тонн в месяц;</w:t>
      </w:r>
    </w:p>
    <w:p>
      <w:pPr>
        <w:pStyle w:val="ListBullet"/>
      </w:pPr>
      <w:r>
        <w:t>открыть представительство в Астане после прохождения контрольных рубежей;</w:t>
      </w:r>
    </w:p>
    <w:p>
      <w:pPr>
        <w:pStyle w:val="ListBullet"/>
      </w:pPr>
      <w:r>
        <w:t>сформировать техническую и нормативную базу для применения ЛСТК в B2G;</w:t>
      </w:r>
    </w:p>
    <w:p>
      <w:pPr>
        <w:pStyle w:val="ListBullet"/>
      </w:pPr>
      <w:r>
        <w:t>снизить зависимость продаж от личного участия собственника;</w:t>
      </w:r>
    </w:p>
    <w:p>
      <w:pPr>
        <w:pStyle w:val="ListBullet"/>
      </w:pPr>
      <w:r>
        <w:t>сформировать повторяемую партнёрскую сеть проектировщиков, подрядчиков и региональных представителей.</w:t>
      </w:r>
    </w:p>
    <w:p>
      <w:pPr>
        <w:pStyle w:val="Heading1"/>
      </w:pPr>
      <w:r>
        <w:t>4. Организационная модель коммерческого блока</w:t>
      </w:r>
    </w:p>
    <w:p>
      <w:pPr>
        <w:pStyle w:val="Heading2"/>
      </w:pPr>
      <w:r>
        <w:t>4.1. Структура</w:t>
      </w:r>
    </w:p>
    <w:p>
      <w:pPr>
        <w:ind w:left="454"/>
      </w:pPr>
      <w:r>
        <w:rPr>
          <w:rFonts w:ascii="Courier New" w:hAnsi="Courier New"/>
          <w:sz w:val="18"/>
        </w:rPr>
        <w:t>Генеральный директор / собственник</w:t>
        <w:br/>
        <w:t>└── Коммерческий директор</w:t>
        <w:br/>
        <w:t xml:space="preserve">    ├── Руководитель отдела продаж</w:t>
        <w:br/>
        <w:t xml:space="preserve">    │   ├── Ведущий менеджер по ключевым клиентам</w:t>
        <w:br/>
        <w:t xml:space="preserve">    │   ├── Новый менеджер проектных B2B-продаж</w:t>
        <w:br/>
        <w:t xml:space="preserve">    │   └── Координатор развития Астаны</w:t>
        <w:br/>
        <w:t xml:space="preserve">    ├── Менеджер по тендерам</w:t>
        <w:br/>
        <w:t xml:space="preserve">    ├── Маркетинговая группа</w:t>
        <w:br/>
        <w:t xml:space="preserve">    │   ├── Мобилограф</w:t>
        <w:br/>
        <w:t xml:space="preserve">    │   ├── Веб-дизайнер / специалист цифровой конверсии</w:t>
        <w:br/>
        <w:t xml:space="preserve">    │   └── Таргетолог / аналитик аудитории</w:t>
        <w:br/>
        <w:t xml:space="preserve">    └── Коммерческая аналитика и Битрикс24</w:t>
      </w:r>
    </w:p>
    <w:p>
      <w:pPr>
        <w:pStyle w:val="Heading2"/>
      </w:pPr>
      <w:r>
        <w:t>4.2. Разделение ответственности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Показатели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Генеральный директор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утверждает мощность, штат, пределы риска и инвестиции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выполнение решений, отсутствие неуправляемых обязательств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Собственник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спонсор ключевых отношений и финальных переговоров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доля сделок, переданных команде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Коммерческий директор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рынок, маржа, каналы, ключевые сделки, согласование с мощностью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тоннаж, валовая прибыль, прогноз, портфель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РОП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люди, дисциплина, обучение, воронка, конверсии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качество Битрикс24, прогноз, конверсия, активность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Ведущий менеджер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сделки A/B и ключевые заказчики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выигранные тонны и маржа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Координатор Астаны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карта рынка, встречи, объекты, партнёры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квалифицированные объекты и тоннаж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Менеджер по тендерам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поиск, оценка, подача и сопровождение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допуск, победы, маржа, отсутствие ошибок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Новый B2B-менеджер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системный поиск и ведение проектных продаж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новая квалифицированная воронка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Маркетинг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создание доказательств, целевых компаний и возможностей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квалифицированные компании и тонны</w:t>
            </w:r>
          </w:p>
        </w:tc>
      </w:tr>
    </w:tbl>
    <w:p>
      <w:pPr>
        <w:pStyle w:val="Heading2"/>
      </w:pPr>
      <w:r>
        <w:t>4.3. Кадрово корректная роль координатора Астаны</w:t>
      </w:r>
    </w:p>
    <w:p>
      <w:pPr>
        <w:spacing w:after="100"/>
      </w:pPr>
      <w:r>
        <w:t>Сын учредителя получает должность «Координатор развития представительства в Астане». Его административный ресурс применяется законно: для получения встреч, входа в деловые сообщества, связи с проектировщиками и подрядчиками. Он не принимает самостоятельно технические решения, не утверждает скидки и не обещает сроки.</w:t>
      </w:r>
    </w:p>
    <w:p>
      <w:pPr>
        <w:spacing w:after="100"/>
      </w:pPr>
      <w:r>
        <w:t>План 90 дней: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1–30 дней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продукт, производство, возражения, карта рынка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аттестация; 100 компаний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31–60 дней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встречи и обследования объектов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20 встреч; 10 объектов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61–90 дней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сделки категории C под наставничеством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5 возможностей; 2 предложения</w:t>
            </w:r>
          </w:p>
        </w:tc>
      </w:tr>
    </w:tbl>
    <w:p>
      <w:pPr>
        <w:pStyle w:val="Heading2"/>
      </w:pPr>
      <w:r>
        <w:t>4.4. Новый сотрудник отдела продаж</w:t>
      </w:r>
    </w:p>
    <w:p>
      <w:pPr>
        <w:spacing w:after="100"/>
      </w:pPr>
      <w:r>
        <w:t>Необходим менеджер проектных B2B-продаж с опытом длинного цикла, технических предложений и выхода на первых лиц. Желательно знание казахского языка и наличие возможности выездов.</w:t>
      </w:r>
    </w:p>
    <w:p>
      <w:pPr>
        <w:spacing w:after="100"/>
      </w:pPr>
      <w:r>
        <w:t>Испытательный срок:</w:t>
      </w:r>
    </w:p>
    <w:p>
      <w:pPr>
        <w:pStyle w:val="ListBullet"/>
      </w:pPr>
      <w:r>
        <w:t>месяц 1: 100 целевых компаний, 25 содержательных контактов, аттестация;</w:t>
      </w:r>
    </w:p>
    <w:p>
      <w:pPr>
        <w:pStyle w:val="ListBullet"/>
      </w:pPr>
      <w:r>
        <w:t>месяц 2: не менее 10 квалифицированных возможностей;</w:t>
      </w:r>
    </w:p>
    <w:p>
      <w:pPr>
        <w:pStyle w:val="ListBullet"/>
      </w:pPr>
      <w:r>
        <w:t>месяц 3: воронка 300–500 тонн и первые предложения или договоры.</w:t>
      </w:r>
    </w:p>
    <w:p>
      <w:pPr>
        <w:pStyle w:val="Heading1"/>
      </w:pPr>
      <w:r>
        <w:t>5. Коммерческая модель</w:t>
      </w:r>
    </w:p>
    <w:p>
      <w:pPr>
        <w:pStyle w:val="Heading2"/>
      </w:pPr>
      <w:r>
        <w:t>5.1. Расчёт целевого темпа</w:t>
      </w:r>
    </w:p>
    <w:p>
      <w:pPr>
        <w:spacing w:after="100"/>
      </w:pPr>
      <w:r>
        <w:t>При среднем заказе 55 тонн для 500 тонн требуется около 9 побед в месяц. При цикле 2–3 месяца минимальная квалифицированная воронка составляет 1000–1500 тонн; целевой безопасный уровень — около 2000 тонн.</w:t>
      </w:r>
    </w:p>
    <w:p>
      <w:pPr>
        <w:pStyle w:val="Heading2"/>
      </w:pPr>
      <w:r>
        <w:t>5.2. Сегменты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Ценность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склады и логистика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скорость ввода, повторяемость, масштабирование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агропром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ангары, склады, фермы, ремонтные здания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промышленность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расширение цехов и производственных площадей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генеральные подрядчики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производственное плечо и снижение срока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проектировщики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готовые узлы, консультации и расчёты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торговые и сервисные сети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серийные здания и региональное развитие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B2G и квазигосударственный сектор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пилотные типовые объекты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дилеры и региональные партнёры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локальная продажа и монтаж</w:t>
            </w:r>
          </w:p>
        </w:tc>
      </w:tr>
    </w:tbl>
    <w:p>
      <w:pPr>
        <w:pStyle w:val="Heading2"/>
      </w:pPr>
      <w:r>
        <w:t>5.3. Продуктовые пакеты</w:t>
      </w:r>
    </w:p>
    <w:p>
      <w:pPr>
        <w:pStyle w:val="ListNumber"/>
      </w:pPr>
      <w:r>
        <w:t>Каркас: проектирование и производство.</w:t>
      </w:r>
    </w:p>
    <w:p>
      <w:pPr>
        <w:pStyle w:val="ListNumber"/>
      </w:pPr>
      <w:r>
        <w:t>Тёплый контур: каркас, ограждающие конструкции и комплектующие.</w:t>
      </w:r>
    </w:p>
    <w:p>
      <w:pPr>
        <w:pStyle w:val="ListNumber"/>
      </w:pPr>
      <w:r>
        <w:t>Быстрый объект: проектирование, производство, доставка и монтаж.</w:t>
      </w:r>
    </w:p>
    <w:p>
      <w:pPr>
        <w:pStyle w:val="ListNumber"/>
      </w:pPr>
      <w:r>
        <w:t>Серийное здание: повторяемое решение для сетей, агропрома и региональных программ.</w:t>
      </w:r>
    </w:p>
    <w:p>
      <w:pPr>
        <w:pStyle w:val="Heading2"/>
      </w:pPr>
      <w:r>
        <w:t>5.4. Категории сделок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Владелец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100+ тонн или стратегический клиент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Ведущий менеджер + РОП + собственник по необходимости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30–99 тонн, подтверждённый объект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Ведущий менеджер или РОП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до 30 тонн или ранняя стадия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Новый менеджер / координатор Астаны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Тендер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конкурсная процедура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Менеджер по тендерам + технический блок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Партнёр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проектировщик, дилер, подрядчик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РОП</w:t>
            </w:r>
          </w:p>
        </w:tc>
      </w:tr>
    </w:tbl>
    <w:p>
      <w:pPr>
        <w:pStyle w:val="Heading1"/>
      </w:pPr>
      <w:r>
        <w:t>6. Битрикс24</w:t>
      </w:r>
    </w:p>
    <w:p>
      <w:pPr>
        <w:pStyle w:val="Heading2"/>
      </w:pPr>
      <w:r>
        <w:t>6.1. Воронки</w:t>
      </w:r>
    </w:p>
    <w:p>
      <w:pPr>
        <w:pStyle w:val="ListNumber"/>
      </w:pPr>
      <w:r>
        <w:t>Первичный спрос.</w:t>
      </w:r>
    </w:p>
    <w:p>
      <w:pPr>
        <w:pStyle w:val="ListNumber"/>
      </w:pPr>
      <w:r>
        <w:t>Проектная продажа.</w:t>
      </w:r>
    </w:p>
    <w:p>
      <w:pPr>
        <w:pStyle w:val="ListNumber"/>
      </w:pPr>
      <w:r>
        <w:t>Производство и исполнение.</w:t>
      </w:r>
    </w:p>
    <w:p>
      <w:pPr>
        <w:pStyle w:val="ListNumber"/>
      </w:pPr>
      <w:r>
        <w:t>Тендеры.</w:t>
      </w:r>
    </w:p>
    <w:p>
      <w:pPr>
        <w:pStyle w:val="ListNumber"/>
      </w:pPr>
      <w:r>
        <w:t>Партнёры и проектировщики.</w:t>
      </w:r>
    </w:p>
    <w:p>
      <w:pPr>
        <w:pStyle w:val="ListNumber"/>
      </w:pPr>
      <w:r>
        <w:t>Претензии и повторные продажи.</w:t>
      </w:r>
    </w:p>
    <w:p>
      <w:pPr>
        <w:pStyle w:val="Heading2"/>
      </w:pPr>
      <w:r>
        <w:t>6.2. Обязательные поля</w:t>
      </w:r>
    </w:p>
    <w:p>
      <w:pPr>
        <w:pStyle w:val="ListBullet"/>
      </w:pPr>
      <w:r>
        <w:t>клиент, БИН, отрасль и регион;</w:t>
      </w:r>
    </w:p>
    <w:p>
      <w:pPr>
        <w:pStyle w:val="ListBullet"/>
      </w:pPr>
      <w:r>
        <w:t>объект, назначение, адрес, площадь и тоннаж;</w:t>
      </w:r>
    </w:p>
    <w:p>
      <w:pPr>
        <w:pStyle w:val="ListBullet"/>
      </w:pPr>
      <w:r>
        <w:t>лицо, принимающее решение, технический эксперт и закупщик;</w:t>
      </w:r>
    </w:p>
    <w:p>
      <w:pPr>
        <w:pStyle w:val="ListBullet"/>
      </w:pPr>
      <w:r>
        <w:t>бюджет, источник финансирования и способ закупки;</w:t>
      </w:r>
    </w:p>
    <w:p>
      <w:pPr>
        <w:pStyle w:val="ListBullet"/>
      </w:pPr>
      <w:r>
        <w:t>требуемый срок и дата следующего действия;</w:t>
      </w:r>
    </w:p>
    <w:p>
      <w:pPr>
        <w:pStyle w:val="ListBullet"/>
      </w:pPr>
      <w:r>
        <w:t>конкурент и альтернативная технология;</w:t>
      </w:r>
    </w:p>
    <w:p>
      <w:pPr>
        <w:pStyle w:val="ListBullet"/>
      </w:pPr>
      <w:r>
        <w:t>валовая прибыль и предел скидки;</w:t>
      </w:r>
    </w:p>
    <w:p>
      <w:pPr>
        <w:pStyle w:val="ListBullet"/>
      </w:pPr>
      <w:r>
        <w:t>стадия проектирования;</w:t>
      </w:r>
    </w:p>
    <w:p>
      <w:pPr>
        <w:pStyle w:val="ListBullet"/>
      </w:pPr>
      <w:r>
        <w:t>производственный слот;</w:t>
      </w:r>
    </w:p>
    <w:p>
      <w:pPr>
        <w:pStyle w:val="ListBullet"/>
      </w:pPr>
      <w:r>
        <w:t>причина проигрыша.</w:t>
      </w:r>
    </w:p>
    <w:p>
      <w:pPr>
        <w:pStyle w:val="Heading2"/>
      </w:pPr>
      <w:r>
        <w:t>6.3. Производственная готовность</w:t>
      </w:r>
    </w:p>
    <w:p>
      <w:pPr>
        <w:spacing w:after="100"/>
      </w:pPr>
      <w:r>
        <w:t>В карточке сделки обязательны статусы: проект готов, чертежи утверждены, материал обеспечен, слот зарезервирован, производство приняло заказ, фактический выпуск и причина отклонения.</w:t>
      </w:r>
    </w:p>
    <w:p>
      <w:pPr>
        <w:pStyle w:val="Heading2"/>
      </w:pPr>
      <w:r>
        <w:t>6.4. Автоматизация</w:t>
      </w:r>
    </w:p>
    <w:p>
      <w:pPr>
        <w:pStyle w:val="ListBullet"/>
      </w:pPr>
      <w:r>
        <w:t>назначение ответственного по региону и сегменту;</w:t>
      </w:r>
    </w:p>
    <w:p>
      <w:pPr>
        <w:pStyle w:val="ListBullet"/>
      </w:pPr>
      <w:r>
        <w:t>напоминание при отсутствии следующего действия;</w:t>
      </w:r>
    </w:p>
    <w:p>
      <w:pPr>
        <w:pStyle w:val="ListBullet"/>
      </w:pPr>
      <w:r>
        <w:t>уведомление РОПу при простое более трёх рабочих дней;</w:t>
      </w:r>
    </w:p>
    <w:p>
      <w:pPr>
        <w:pStyle w:val="ListBullet"/>
      </w:pPr>
      <w:r>
        <w:t>протокол встречи через ИИ с проверкой менеджером;</w:t>
      </w:r>
    </w:p>
    <w:p>
      <w:pPr>
        <w:pStyle w:val="ListBullet"/>
      </w:pPr>
      <w:r>
        <w:t>создание производственного заказа после выполнения условий;</w:t>
      </w:r>
    </w:p>
    <w:p>
      <w:pPr>
        <w:pStyle w:val="ListBullet"/>
      </w:pPr>
      <w:r>
        <w:t>план/факт тоннажа и сроков;</w:t>
      </w:r>
    </w:p>
    <w:p>
      <w:pPr>
        <w:pStyle w:val="ListBullet"/>
      </w:pPr>
      <w:r>
        <w:t>прогноз гарантированный, вероятный и потенциальный;</w:t>
      </w:r>
    </w:p>
    <w:p>
      <w:pPr>
        <w:pStyle w:val="ListBullet"/>
      </w:pPr>
      <w:r>
        <w:t>отчёт причин проигрыша.</w:t>
      </w:r>
    </w:p>
    <w:p>
      <w:pPr>
        <w:pStyle w:val="Heading1"/>
      </w:pPr>
      <w:r>
        <w:t>7. Производственная стратегия</w:t>
      </w:r>
    </w:p>
    <w:p>
      <w:pPr>
        <w:pStyle w:val="Heading2"/>
      </w:pPr>
      <w:r>
        <w:t>7.1. Портфель 600 тонн</w:t>
      </w:r>
    </w:p>
    <w:p>
      <w:pPr>
        <w:spacing w:after="100"/>
      </w:pPr>
      <w:r>
        <w:t>В течение 72 часов создать реестр каждого договора: тоннаж, готовность проекта, предоплата, договорная дата, штрафы, материал, станко-часы, трудозатраты, слот, ответственные и риски.</w:t>
      </w:r>
    </w:p>
    <w:p>
      <w:pPr>
        <w:spacing w:after="100"/>
      </w:pPr>
      <w:r>
        <w:t>Приоритет:</w:t>
      </w:r>
    </w:p>
    <w:p>
      <w:pPr>
        <w:pStyle w:val="ListNumber"/>
      </w:pPr>
      <w:r>
        <w:t>договорные обязательства и штрафы;</w:t>
      </w:r>
    </w:p>
    <w:p>
      <w:pPr>
        <w:pStyle w:val="ListNumber"/>
      </w:pPr>
      <w:r>
        <w:t>предоплата;</w:t>
      </w:r>
    </w:p>
    <w:p>
      <w:pPr>
        <w:pStyle w:val="ListNumber"/>
      </w:pPr>
      <w:r>
        <w:t>готовность проекта;</w:t>
      </w:r>
    </w:p>
    <w:p>
      <w:pPr>
        <w:pStyle w:val="ListNumber"/>
      </w:pPr>
      <w:r>
        <w:t>наличие материала;</w:t>
      </w:r>
    </w:p>
    <w:p>
      <w:pPr>
        <w:pStyle w:val="ListNumber"/>
      </w:pPr>
      <w:r>
        <w:t>готовность заказчика принять продукцию;</w:t>
      </w:r>
    </w:p>
    <w:p>
      <w:pPr>
        <w:pStyle w:val="ListNumber"/>
      </w:pPr>
      <w:r>
        <w:t>стратегическое значение клиента.</w:t>
      </w:r>
    </w:p>
    <w:p>
      <w:pPr>
        <w:pStyle w:val="Heading2"/>
      </w:pPr>
      <w:r>
        <w:t>7.2. Аудит мощности — 10 рабочих дней</w:t>
      </w:r>
    </w:p>
    <w:p>
      <w:pPr>
        <w:spacing w:after="100"/>
      </w:pPr>
      <w:r>
        <w:t>Проверяются проектная и фактическая скорость каждой линии, переналадка, простои, брак, материал, численность, возможность второй смены, комплектация, упаковка, склад, отгрузка, трудочасы на тонну и оборотный капитал.</w:t>
      </w:r>
    </w:p>
    <w:p>
      <w:pPr>
        <w:pStyle w:val="Heading2"/>
      </w:pPr>
      <w:r>
        <w:t>7.3. Ступени роста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Ступень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Выпуск</w:t>
            </w:r>
          </w:p>
        </w:tc>
        <w:tc>
          <w:tcPr>
            <w:tcW w:type="dxa" w:w="3457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Условие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Стабилизация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150–200 т/мес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устранены основные простои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Первая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250–300 т/мес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укомплектована смена, введён контроль качества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Вторая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350–400 т/мес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обеспечены сменность, материалы, комплектация</w:t>
            </w:r>
          </w:p>
        </w:tc>
      </w:tr>
      <w:tr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Целевая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450–500 т/мес</w:t>
            </w:r>
          </w:p>
        </w:tc>
        <w:tc>
          <w:tcPr>
            <w:tcW w:type="dxa" w:w="3457"/>
          </w:tcPr>
          <w:p>
            <w:r>
              <w:rPr>
                <w:rFonts w:ascii="Arial" w:hAnsi="Arial"/>
                <w:sz w:val="17"/>
              </w:rPr>
              <w:t>подтверждены люди, оборотный капитал и загрузка</w:t>
            </w:r>
          </w:p>
        </w:tc>
      </w:tr>
    </w:tbl>
    <w:p>
      <w:pPr>
        <w:spacing w:after="100"/>
      </w:pPr>
      <w:r>
        <w:t>Переход — после двух последовательных периодов выполнения плана не менее чем на 90%.</w:t>
      </w:r>
    </w:p>
    <w:p>
      <w:pPr>
        <w:pStyle w:val="Heading2"/>
      </w:pPr>
      <w:r>
        <w:t>7.4. Показатели производства</w:t>
      </w:r>
    </w:p>
    <w:p>
      <w:pPr>
        <w:pStyle w:val="ListBullet"/>
      </w:pPr>
      <w:r>
        <w:t>тоннаж;</w:t>
      </w:r>
    </w:p>
    <w:p>
      <w:pPr>
        <w:pStyle w:val="ListBullet"/>
      </w:pPr>
      <w:r>
        <w:t>трудочасы на тонну;</w:t>
      </w:r>
    </w:p>
    <w:p>
      <w:pPr>
        <w:pStyle w:val="ListBullet"/>
      </w:pPr>
      <w:r>
        <w:t>тоннаж на работника;</w:t>
      </w:r>
    </w:p>
    <w:p>
      <w:pPr>
        <w:pStyle w:val="ListBullet"/>
      </w:pPr>
      <w:r>
        <w:t>загрузка и простои оборудования;</w:t>
      </w:r>
    </w:p>
    <w:p>
      <w:pPr>
        <w:pStyle w:val="ListBullet"/>
      </w:pPr>
      <w:r>
        <w:t>брак и переделки;</w:t>
      </w:r>
    </w:p>
    <w:p>
      <w:pPr>
        <w:pStyle w:val="ListBullet"/>
      </w:pPr>
      <w:r>
        <w:t>план/факт выпуска;</w:t>
      </w:r>
    </w:p>
    <w:p>
      <w:pPr>
        <w:pStyle w:val="ListBullet"/>
      </w:pPr>
      <w:r>
        <w:t>своевременность отгрузки;</w:t>
      </w:r>
    </w:p>
    <w:p>
      <w:pPr>
        <w:pStyle w:val="ListBullet"/>
      </w:pPr>
      <w:r>
        <w:t>незавершённое производство;</w:t>
      </w:r>
    </w:p>
    <w:p>
      <w:pPr>
        <w:pStyle w:val="ListBullet"/>
      </w:pPr>
      <w:r>
        <w:t>отклонение срока по договору.</w:t>
      </w:r>
    </w:p>
    <w:p>
      <w:pPr>
        <w:pStyle w:val="Heading1"/>
      </w:pPr>
      <w:r>
        <w:t>8. Управленческий ритм</w:t>
      </w:r>
    </w:p>
    <w:p>
      <w:pPr>
        <w:pStyle w:val="Heading2"/>
      </w:pPr>
      <w:r>
        <w:t>8.1. Коммерческо-производственный комитет</w:t>
      </w:r>
    </w:p>
    <w:p>
      <w:pPr>
        <w:spacing w:after="100"/>
      </w:pPr>
      <w:r>
        <w:t>Еженедельно, 60 минут. Участники: Коммерческий директор, РОП, производство, технический блок, снабжение, финансы, тендерный менеджер и владельцы крупных сделок.</w:t>
      </w:r>
    </w:p>
    <w:p>
      <w:pPr>
        <w:spacing w:after="100"/>
      </w:pPr>
      <w:r>
        <w:t>Повестка: план/факт выпуска, портфель 600 тонн, график 4–8 недель, новые сделки, материалы, люди, оборудование, решения и ответственные.</w:t>
      </w:r>
    </w:p>
    <w:p>
      <w:pPr>
        <w:pStyle w:val="Heading2"/>
      </w:pPr>
      <w:r>
        <w:t>8.2. Горизонты</w:t>
      </w:r>
    </w:p>
    <w:p>
      <w:pPr>
        <w:pStyle w:val="ListBullet"/>
      </w:pPr>
      <w:r>
        <w:t>13 недель — общий прогноз;</w:t>
      </w:r>
    </w:p>
    <w:p>
      <w:pPr>
        <w:pStyle w:val="ListBullet"/>
      </w:pPr>
      <w:r>
        <w:t>8 недель — предварительный резерв;</w:t>
      </w:r>
    </w:p>
    <w:p>
      <w:pPr>
        <w:pStyle w:val="ListBullet"/>
      </w:pPr>
      <w:r>
        <w:t>4 недели — утверждённый план;</w:t>
      </w:r>
    </w:p>
    <w:p>
      <w:pPr>
        <w:pStyle w:val="ListBullet"/>
      </w:pPr>
      <w:r>
        <w:t>1 неделя — сменное задание;</w:t>
      </w:r>
    </w:p>
    <w:p>
      <w:pPr>
        <w:pStyle w:val="ListBullet"/>
      </w:pPr>
      <w:r>
        <w:t>1 день — план/факт участков.</w:t>
      </w:r>
    </w:p>
    <w:p>
      <w:pPr>
        <w:pStyle w:val="Heading2"/>
      </w:pPr>
      <w:r>
        <w:t>8.3. Панель руководителя</w:t>
      </w:r>
    </w:p>
    <w:p>
      <w:pPr>
        <w:spacing w:after="100"/>
      </w:pPr>
      <w:r>
        <w:t>Продажи: новые и общие квалифицированные тонны, договоры, средний заказ, конверсия, цикл. Производство: принятые, выпущенные и отгруженные тонны, брак и своевременность. Маркетинг: целевые компании и квалифицированные возможности. Астана: встречи, объекты и тоннаж. B2G: тендеры, допуски, пилоты и нормативные шаги.</w:t>
      </w:r>
    </w:p>
    <w:p>
      <w:pPr>
        <w:pStyle w:val="Heading1"/>
      </w:pPr>
      <w:r>
        <w:t>9. Маркетинговая стратегия</w:t>
      </w:r>
    </w:p>
    <w:p>
      <w:pPr>
        <w:pStyle w:val="Heading2"/>
      </w:pPr>
      <w:r>
        <w:t>9.1. Архитектура брендов</w:t>
      </w:r>
    </w:p>
    <w:p>
      <w:pPr>
        <w:pStyle w:val="ListBullet"/>
      </w:pPr>
      <w:r>
        <w:t>STAR BUILDING: завод, технология, проектирование и производство ЛСТК.</w:t>
      </w:r>
    </w:p>
    <w:p>
      <w:pPr>
        <w:pStyle w:val="ListBullet"/>
      </w:pPr>
      <w:r>
        <w:t>Grand Construction: комплексная реализация и строительство объекта под ключ.</w:t>
      </w:r>
    </w:p>
    <w:p>
      <w:pPr>
        <w:spacing w:after="100"/>
      </w:pPr>
      <w:r>
        <w:t>На обоих сайтах должен быть блок «Как связаны компании» и единая маршрутизация заявок в Битрикс24.</w:t>
      </w:r>
    </w:p>
    <w:p>
      <w:pPr>
        <w:spacing w:after="100"/>
      </w:pPr>
      <w:r>
        <w:t>Официальные площадки:</w:t>
      </w:r>
    </w:p>
    <w:p>
      <w:pPr>
        <w:pStyle w:val="ListBullet"/>
      </w:pPr>
      <w:r>
        <w:t>https://starbuilding.kz</w:t>
      </w:r>
    </w:p>
    <w:p>
      <w:pPr>
        <w:pStyle w:val="ListBullet"/>
      </w:pPr>
      <w:r>
        <w:t>https://gc-build.kz</w:t>
      </w:r>
    </w:p>
    <w:p>
      <w:pPr>
        <w:pStyle w:val="ListBullet"/>
      </w:pPr>
      <w:r>
        <w:t>https://www.instagram.com/starbuildingkz</w:t>
      </w:r>
    </w:p>
    <w:p>
      <w:pPr>
        <w:pStyle w:val="ListBullet"/>
      </w:pPr>
      <w:r>
        <w:t>https://www.tiktok.com/@star_building.kz</w:t>
      </w:r>
    </w:p>
    <w:p>
      <w:pPr>
        <w:pStyle w:val="Heading2"/>
      </w:pPr>
      <w:r>
        <w:t>9.2. Безбюджетный маркетинг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Механика</w:t>
            </w:r>
          </w:p>
        </w:tc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Норматив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Полноценные кейсы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2 в месяц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Интервью с собственником/инженером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4 в месяц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Экскурсии на завод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2 в месяц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Партнёрские эфиры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2 в месяц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Предварительные разборы объектов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10 в месяц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Новые контакты проектировщиков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5 в неделю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Реактивация базы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100 контактов в месяц</w:t>
            </w:r>
          </w:p>
        </w:tc>
      </w:tr>
    </w:tbl>
    <w:p>
      <w:pPr>
        <w:pStyle w:val="Heading2"/>
      </w:pPr>
      <w:r>
        <w:t>9.3. Контент</w:t>
      </w:r>
    </w:p>
    <w:p>
      <w:pPr>
        <w:spacing w:after="100"/>
      </w:pPr>
      <w:r>
        <w:t>ЛСТК простыми словами; ограничения; сравнение с альтернативами; производство; узлы; ошибки исходных данных; хронология объекта; контроль качества; ответы инженера; экономика; отзывы; отраслевые решения.</w:t>
      </w:r>
    </w:p>
    <w:p>
      <w:pPr>
        <w:pStyle w:val="Heading2"/>
      </w:pPr>
      <w:r>
        <w:t>9.4. Веб-дизайнер и таргетолог</w:t>
      </w:r>
    </w:p>
    <w:p>
      <w:pPr>
        <w:spacing w:after="100"/>
      </w:pPr>
      <w:r>
        <w:t>Веб-дизайнер становится специалистом цифровой конверсии: посадочные страницы по сегментам, формы, аналитика, мобильность, карточки проектов. Таргетолог до появления бюджета отвечает за события аналитики, сегментацию, метки, базы, повторный показ и матрицу будущих тестов. Платная реклама запускается только после готовности страницы, кейса, аналитики и сценария обработки.</w:t>
      </w:r>
    </w:p>
    <w:p>
      <w:pPr>
        <w:pStyle w:val="Heading2"/>
      </w:pPr>
      <w:r>
        <w:t>9.5. Постепенный бюджет сентября–декабря 2026 года</w:t>
      </w:r>
    </w:p>
    <w:p>
      <w:pPr>
        <w:spacing w:after="100"/>
      </w:pPr>
      <w:r>
        <w:t>Операционная часть наращивается только после прохождения контрольных рубежей Битрикс24: 450 000 → 650 000 → 850 000 → 1 050 000 тенге. Общий операционный бюджет — 3 000 000 тенге; обязательная цифровая инфраструктура — 49 260 тенге; телефон мобилографа — до 180 000 тенге после утверждения спецификации. Общий предел — 3 229 260 тенге.</w:t>
      </w:r>
    </w:p>
    <w:p>
      <w:pPr>
        <w:spacing w:after="100"/>
      </w:pPr>
      <w:r>
        <w:t>Каждая следующая ступень требует заполнения не менее 95% карточек, наличия квалифицированных коммерческих возможностей и соблюдения предела стоимости возможности. Полная модель план/факт находится в 36-marketing-budget-2026/marketing_budget_sep_dec_2026.xlsx.</w:t>
      </w:r>
    </w:p>
    <w:p>
      <w:pPr>
        <w:pStyle w:val="Heading1"/>
      </w:pPr>
      <w:r>
        <w:t>10. ИИ-контур маркетинга и продаж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Инструменты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тексты, сценарии, протоколы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ChatGPT, Claude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исследование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Perplexity с проверкой первоисточников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концептуальные изображения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Midjourney, Ideogram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векторная графика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Recraft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безопасная коммерческая графика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Adobe Firefly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шаблоны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Canva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расшифровка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Whisper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монтаж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CapCut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генеративное видео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Runway, Kling, Veo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презентации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Gamma с ручной проверкой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автоматизация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n8n или Make + Битрикс24</w:t>
            </w:r>
          </w:p>
        </w:tc>
      </w:tr>
    </w:tbl>
    <w:p>
      <w:pPr>
        <w:spacing w:after="100"/>
      </w:pPr>
      <w:r>
        <w:t>Порядок: заявка → утверждённое содержание → 2–3 варианта ИИ → проверка фирменного стиля → техническая проверка → утверждение → публикация → аналитика.</w:t>
      </w:r>
    </w:p>
    <w:p>
      <w:pPr>
        <w:spacing w:after="100"/>
      </w:pPr>
      <w:r>
        <w:t>Ограничения: маркировать концептуальные изображения; не поручать ИИ расчёт несущих конструкций; проверять цифры и сертификаты; не передавать клиентские данные в открытые модели без разрешения.</w:t>
      </w:r>
    </w:p>
    <w:p>
      <w:pPr>
        <w:pStyle w:val="Heading1"/>
      </w:pPr>
      <w:r>
        <w:t>11. Просвещение B2B/B2G</w:t>
      </w:r>
    </w:p>
    <w:p>
      <w:pPr>
        <w:spacing w:after="100"/>
      </w:pPr>
      <w:r>
        <w:t>Программа «ЛСТК без мифов» включает вебинары, разборы объектов, технические встречи, экскурсии, альбом решений, узлы, консультации проектировщикам, экономические сравнения и честное описание границ применения.</w:t>
      </w:r>
    </w:p>
    <w:p>
      <w:pPr>
        <w:spacing w:after="100"/>
      </w:pPr>
      <w:r>
        <w:t>Ежемесячный цикл:</w:t>
      </w:r>
    </w:p>
    <w:p>
      <w:pPr>
        <w:pStyle w:val="ListNumber"/>
      </w:pPr>
      <w:r>
        <w:t>вебинар о технологии;</w:t>
      </w:r>
    </w:p>
    <w:p>
      <w:pPr>
        <w:pStyle w:val="ListNumber"/>
      </w:pPr>
      <w:r>
        <w:t>разбор объекта;</w:t>
      </w:r>
    </w:p>
    <w:p>
      <w:pPr>
        <w:pStyle w:val="ListNumber"/>
      </w:pPr>
      <w:r>
        <w:t>встреча проектировщиков;</w:t>
      </w:r>
    </w:p>
    <w:p>
      <w:pPr>
        <w:pStyle w:val="ListNumber"/>
      </w:pPr>
      <w:r>
        <w:t>экскурсия на производство или эфир инженера.</w:t>
      </w:r>
    </w:p>
    <w:p>
      <w:pPr>
        <w:pStyle w:val="Heading1"/>
      </w:pPr>
      <w:r>
        <w:t>12. Астана — 2027</w:t>
      </w:r>
    </w:p>
    <w:p>
      <w:pPr>
        <w:pStyle w:val="Heading2"/>
      </w:pPr>
      <w:r>
        <w:t>Первый квартал</w:t>
      </w:r>
    </w:p>
    <w:p>
      <w:pPr>
        <w:pStyle w:val="ListBullet"/>
      </w:pPr>
      <w:r>
        <w:t>200 целевых организаций;</w:t>
      </w:r>
    </w:p>
    <w:p>
      <w:pPr>
        <w:pStyle w:val="ListBullet"/>
      </w:pPr>
      <w:r>
        <w:t>30 приоритетных заказчиков;</w:t>
      </w:r>
    </w:p>
    <w:p>
      <w:pPr>
        <w:pStyle w:val="ListBullet"/>
      </w:pPr>
      <w:r>
        <w:t>5 проектных или строительных партнёров;</w:t>
      </w:r>
    </w:p>
    <w:p>
      <w:pPr>
        <w:pStyle w:val="ListBullet"/>
      </w:pPr>
      <w:r>
        <w:t>воронка не менее 1500 тонн;</w:t>
      </w:r>
    </w:p>
    <w:p>
      <w:pPr>
        <w:pStyle w:val="ListBullet"/>
      </w:pPr>
      <w:r>
        <w:t>2–3 первых договора или пилота;</w:t>
      </w:r>
    </w:p>
    <w:p>
      <w:pPr>
        <w:pStyle w:val="ListBullet"/>
      </w:pPr>
      <w:r>
        <w:t>гибкая переговорная вместо дорогого офиса.</w:t>
      </w:r>
    </w:p>
    <w:p>
      <w:pPr>
        <w:pStyle w:val="Heading2"/>
      </w:pPr>
      <w:r>
        <w:t>Второй квартал</w:t>
      </w:r>
    </w:p>
    <w:p>
      <w:pPr>
        <w:spacing w:after="100"/>
      </w:pPr>
      <w:r>
        <w:t>Лёгкое представительство: руководитель развития, инженер предпродажной подготовки и координатор; расчёты и производство остаются в Караганде.</w:t>
      </w:r>
    </w:p>
    <w:p>
      <w:pPr>
        <w:pStyle w:val="Heading2"/>
      </w:pPr>
      <w:r>
        <w:t>Третий–четвёртый кварталы</w:t>
      </w:r>
    </w:p>
    <w:p>
      <w:pPr>
        <w:spacing w:after="100"/>
      </w:pPr>
      <w:r>
        <w:t>Постоянный офис открывается после трёх месяцев подтверждённого спроса, трёхкратного покрытия плана воронкой, пяти активных партнёров и положительной экономики.</w:t>
      </w:r>
    </w:p>
    <w:p>
      <w:pPr>
        <w:pStyle w:val="Heading1"/>
      </w:pPr>
      <w:r>
        <w:t>13. B2G и государственные базы — 2027</w:t>
      </w:r>
    </w:p>
    <w:p>
      <w:pPr>
        <w:spacing w:after="100"/>
      </w:pPr>
      <w:r>
        <w:t>Создать рабочую группу из коммерческого, технического, конструкторского, сертификационного, сметного, тендерного и юридического блоков.</w:t>
      </w:r>
    </w:p>
    <w:p>
      <w:pPr>
        <w:spacing w:after="100"/>
      </w:pPr>
      <w:r>
        <w:t>Этапы:</w:t>
      </w:r>
    </w:p>
    <w:p>
      <w:pPr>
        <w:pStyle w:val="ListNumber"/>
      </w:pPr>
      <w:r>
        <w:t>карта отсутствующих классификаторов, сметных ресурсов и требований;</w:t>
      </w:r>
    </w:p>
    <w:p>
      <w:pPr>
        <w:pStyle w:val="ListNumber"/>
      </w:pPr>
      <w:r>
        <w:t>аудит сертификатов и испытаний;</w:t>
      </w:r>
    </w:p>
    <w:p>
      <w:pPr>
        <w:pStyle w:val="ListNumber"/>
      </w:pPr>
      <w:r>
        <w:t>технический пакет: область применения, ограничения, прочность, пожарные, теплотехнические и сейсмические решения, узлы, монтаж, качество, эксплуатация и сметы;</w:t>
      </w:r>
    </w:p>
    <w:p>
      <w:pPr>
        <w:pStyle w:val="ListNumber"/>
      </w:pPr>
      <w:r>
        <w:t>пилотный объект с фиксацией срока, стоимости и эксплуатации;</w:t>
      </w:r>
    </w:p>
    <w:p>
      <w:pPr>
        <w:pStyle w:val="ListNumber"/>
      </w:pPr>
      <w:r>
        <w:t>подача в профильные базы и работа с замечаниями;</w:t>
      </w:r>
    </w:p>
    <w:p>
      <w:pPr>
        <w:pStyle w:val="ListNumber"/>
      </w:pPr>
      <w:r>
        <w:t>обучение проектировщиков и сметчиков;</w:t>
      </w:r>
    </w:p>
    <w:p>
      <w:pPr>
        <w:pStyle w:val="ListNumber"/>
      </w:pPr>
      <w:r>
        <w:t>B2G-воронка в Битрикс24.</w:t>
      </w:r>
    </w:p>
    <w:p>
      <w:pPr>
        <w:spacing w:after="100"/>
      </w:pPr>
      <w:r>
        <w:t>Цель — не требование закупать конкретный бренд, а законная возможность проектировать и закупать здания на основе холодногнутых оцинкованных стальных профилей с проверяемыми характеристиками.</w:t>
      </w:r>
    </w:p>
    <w:p>
      <w:pPr>
        <w:pStyle w:val="Heading1"/>
      </w:pPr>
      <w:r>
        <w:t>14. План 30–60–90 дней</w:t>
      </w:r>
    </w:p>
    <w:p>
      <w:pPr>
        <w:pStyle w:val="Heading2"/>
      </w:pPr>
      <w:r>
        <w:t>0–30 дней</w:t>
      </w:r>
    </w:p>
    <w:p>
      <w:pPr>
        <w:pStyle w:val="ListBullet"/>
      </w:pPr>
      <w:r>
        <w:t>распределить 600 тонн по слотам;</w:t>
      </w:r>
    </w:p>
    <w:p>
      <w:pPr>
        <w:pStyle w:val="ListBullet"/>
      </w:pPr>
      <w:r>
        <w:t>завершить аудит мощности;</w:t>
      </w:r>
    </w:p>
    <w:p>
      <w:pPr>
        <w:pStyle w:val="ListBullet"/>
      </w:pPr>
      <w:r>
        <w:t>утвердить роли Коммерческого директора и РОПа;</w:t>
      </w:r>
    </w:p>
    <w:p>
      <w:pPr>
        <w:pStyle w:val="ListBullet"/>
      </w:pPr>
      <w:r>
        <w:t>запустить новые воронки;</w:t>
      </w:r>
    </w:p>
    <w:p>
      <w:pPr>
        <w:pStyle w:val="ListBullet"/>
      </w:pPr>
      <w:r>
        <w:t>открыть подбор производственного персонала и B2B-менеджера;</w:t>
      </w:r>
    </w:p>
    <w:p>
      <w:pPr>
        <w:pStyle w:val="ListBullet"/>
      </w:pPr>
      <w:r>
        <w:t>создать единый отчёт;</w:t>
      </w:r>
    </w:p>
    <w:p>
      <w:pPr>
        <w:pStyle w:val="ListBullet"/>
      </w:pPr>
      <w:r>
        <w:t>начать разделение позиционирования сайтов.</w:t>
      </w:r>
    </w:p>
    <w:p>
      <w:pPr>
        <w:pStyle w:val="Heading2"/>
      </w:pPr>
      <w:r>
        <w:t>31–60 дней</w:t>
      </w:r>
    </w:p>
    <w:p>
      <w:pPr>
        <w:pStyle w:val="ListBullet"/>
      </w:pPr>
      <w:r>
        <w:t>устранить основные простои;</w:t>
      </w:r>
    </w:p>
    <w:p>
      <w:pPr>
        <w:pStyle w:val="ListBullet"/>
      </w:pPr>
      <w:r>
        <w:t>подтвердить первую ступень выпуска;</w:t>
      </w:r>
    </w:p>
    <w:p>
      <w:pPr>
        <w:pStyle w:val="ListBullet"/>
      </w:pPr>
      <w:r>
        <w:t>сформировать 1000+ тонн квалифицированной воронки;</w:t>
      </w:r>
    </w:p>
    <w:p>
      <w:pPr>
        <w:pStyle w:val="ListBullet"/>
      </w:pPr>
      <w:r>
        <w:t>запустить отраслевые страницы и кейсы;</w:t>
      </w:r>
    </w:p>
    <w:p>
      <w:pPr>
        <w:pStyle w:val="ListBullet"/>
      </w:pPr>
      <w:r>
        <w:t>провести заводские экскурсии;</w:t>
      </w:r>
    </w:p>
    <w:p>
      <w:pPr>
        <w:pStyle w:val="ListBullet"/>
      </w:pPr>
      <w:r>
        <w:t>сформировать 100 компаний Астаны;</w:t>
      </w:r>
    </w:p>
    <w:p>
      <w:pPr>
        <w:pStyle w:val="ListBullet"/>
      </w:pPr>
      <w:r>
        <w:t>внедрить тендерный фильтр «участвуем / не участвуем».</w:t>
      </w:r>
    </w:p>
    <w:p>
      <w:pPr>
        <w:pStyle w:val="Heading2"/>
      </w:pPr>
      <w:r>
        <w:t>61–90 дней</w:t>
      </w:r>
    </w:p>
    <w:p>
      <w:pPr>
        <w:pStyle w:val="ListBullet"/>
      </w:pPr>
      <w:r>
        <w:t>подтвердить выполнение производственного плана;</w:t>
      </w:r>
    </w:p>
    <w:p>
      <w:pPr>
        <w:pStyle w:val="ListBullet"/>
      </w:pPr>
      <w:r>
        <w:t>оценить возможность следующей ступени;</w:t>
      </w:r>
    </w:p>
    <w:p>
      <w:pPr>
        <w:pStyle w:val="ListBullet"/>
      </w:pPr>
      <w:r>
        <w:t>сформировать воронку 1500–2000 тонн;</w:t>
      </w:r>
    </w:p>
    <w:p>
      <w:pPr>
        <w:pStyle w:val="ListBullet"/>
      </w:pPr>
      <w:r>
        <w:t>передать часть сделок от собственника команде;</w:t>
      </w:r>
    </w:p>
    <w:p>
      <w:pPr>
        <w:pStyle w:val="ListBullet"/>
      </w:pPr>
      <w:r>
        <w:t>получить первые измеримые результаты нового менеджера и координатора Астаны;</w:t>
      </w:r>
    </w:p>
    <w:p>
      <w:pPr>
        <w:pStyle w:val="ListBullet"/>
      </w:pPr>
      <w:r>
        <w:t>утвердить бюджет масштабирования.</w:t>
      </w:r>
    </w:p>
    <w:p>
      <w:pPr>
        <w:pStyle w:val="Heading1"/>
      </w:pPr>
      <w:r>
        <w:t>15. Матрица ответственности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Процесс</w:t>
            </w:r>
          </w:p>
        </w:tc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Генеральный директор</w:t>
            </w:r>
          </w:p>
        </w:tc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Коммерческий директор</w:t>
            </w:r>
          </w:p>
        </w:tc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РОП</w:t>
            </w:r>
          </w:p>
        </w:tc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Производство</w:t>
            </w:r>
          </w:p>
        </w:tc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Маркетинг</w:t>
            </w:r>
          </w:p>
        </w:tc>
        <w:tc>
          <w:tcPr>
            <w:tcW w:type="dxa" w:w="1481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Тендерный менеджер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Целевой тоннаж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Производственная мощность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Производственный слот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Воронка продаж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Ключевые сделки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A/R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Маркетинговая программа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Тендер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Представительство Астаны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I</w:t>
            </w:r>
          </w:p>
        </w:tc>
      </w:tr>
      <w:tr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B2G-пакет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R/C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7"/>
              </w:rPr>
              <w:t>R/C</w:t>
            </w:r>
          </w:p>
        </w:tc>
      </w:tr>
    </w:tbl>
    <w:p>
      <w:pPr>
        <w:spacing w:after="100"/>
      </w:pPr>
      <w:r>
        <w:t>A — утверждает; R — выполняет; C — консультирует; I — информируется.</w:t>
      </w:r>
    </w:p>
    <w:p>
      <w:pPr>
        <w:pStyle w:val="Heading1"/>
      </w:pPr>
      <w:r>
        <w:t>16. Риски и 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5185"/>
            <w:shd w:fill="0F3D5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Продажи выше мощности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подтверждение слота до обещания срока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Просрочки портфеля 600 тонн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реестр, приоритизация, уведомление клиентов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Дефицит работников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штатная матрица, найм до второй смены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Рост брака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контроль качества на каждой ступени роста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Зависимость от собственника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совместные переговоры с передачей ведения менеджеру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Слабый менеджер Астаны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наставничество, ограниченный контур, измеримые результаты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Тендер с низкой маржой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обязательное решение «участвуем / не участвуем»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Размытое позиционирование брендов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взаимные блоки и единая маршрутизация заявок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Ошибки ИИ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человеческая и техническая проверка</w:t>
            </w:r>
          </w:p>
        </w:tc>
      </w:tr>
      <w:tr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Открытие офиса без спроса</w:t>
            </w:r>
          </w:p>
        </w:tc>
        <w:tc>
          <w:tcPr>
            <w:tcW w:type="dxa" w:w="5185"/>
          </w:tcPr>
          <w:p>
            <w:r>
              <w:rPr>
                <w:rFonts w:ascii="Arial" w:hAnsi="Arial"/>
                <w:sz w:val="17"/>
              </w:rPr>
              <w:t>контрольные рубежи до постоянных расходов</w:t>
            </w:r>
          </w:p>
        </w:tc>
      </w:tr>
    </w:tbl>
    <w:p>
      <w:pPr>
        <w:pStyle w:val="Heading1"/>
      </w:pPr>
      <w:r>
        <w:t>17. Решения для утверждения Генеральным директором</w:t>
      </w:r>
    </w:p>
    <w:p>
      <w:pPr>
        <w:pStyle w:val="ListNumber"/>
      </w:pPr>
      <w:r>
        <w:t>Создать еженедельный коммерческо-производственный комитет.</w:t>
      </w:r>
    </w:p>
    <w:p>
      <w:pPr>
        <w:pStyle w:val="ListNumber"/>
      </w:pPr>
      <w:r>
        <w:t>Утвердить десятидневный аудит мощности.</w:t>
      </w:r>
    </w:p>
    <w:p>
      <w:pPr>
        <w:pStyle w:val="ListNumber"/>
      </w:pPr>
      <w:r>
        <w:t>Утвердить распределение портфеля 600 тонн по слотам.</w:t>
      </w:r>
    </w:p>
    <w:p>
      <w:pPr>
        <w:pStyle w:val="ListNumber"/>
      </w:pPr>
      <w:r>
        <w:t>Утвердить разграничение Коммерческого директора и РОПа.</w:t>
      </w:r>
    </w:p>
    <w:p>
      <w:pPr>
        <w:pStyle w:val="ListNumber"/>
      </w:pPr>
      <w:r>
        <w:t>Разрешить подбор производственного персонала и одного B2B-менеджера.</w:t>
      </w:r>
    </w:p>
    <w:p>
      <w:pPr>
        <w:pStyle w:val="ListNumber"/>
      </w:pPr>
      <w:r>
        <w:t>Утвердить этапность выхода на 500 тонн.</w:t>
      </w:r>
    </w:p>
    <w:p>
      <w:pPr>
        <w:pStyle w:val="ListNumber"/>
      </w:pPr>
      <w:r>
        <w:t>Утвердить модель развития Астаны через проверку спроса.</w:t>
      </w:r>
    </w:p>
    <w:p>
      <w:pPr>
        <w:pStyle w:val="ListNumber"/>
      </w:pPr>
      <w:r>
        <w:t>Утвердить нормативно-технический проект B2G на 2027 год.</w:t>
      </w:r>
    </w:p>
    <w:p>
      <w:pPr>
        <w:pStyle w:val="ListNumber"/>
      </w:pPr>
      <w:r>
        <w:t>Утвердить единый цифровой контур STAR BUILDING и Grand Construction.</w:t>
      </w:r>
    </w:p>
    <w:p>
      <w:pPr>
        <w:pStyle w:val="ListNumber"/>
      </w:pPr>
      <w:r>
        <w:t>Утвердить правила применения ИИ и человеческой проверки.</w:t>
      </w:r>
    </w:p>
    <w:p>
      <w:pPr>
        <w:pStyle w:val="Heading1"/>
      </w:pPr>
      <w:r>
        <w:t>18. Открытые вопросы</w:t>
      </w:r>
    </w:p>
    <w:p>
      <w:pPr>
        <w:pStyle w:val="ListBullet"/>
      </w:pPr>
      <w:r>
        <w:t>фактический выпуск по последним трём месяцам;</w:t>
      </w:r>
    </w:p>
    <w:p>
      <w:pPr>
        <w:pStyle w:val="ListBullet"/>
      </w:pPr>
      <w:r>
        <w:t>договорные сроки и предоплата по каждому из 600 тонн;</w:t>
      </w:r>
    </w:p>
    <w:p>
      <w:pPr>
        <w:pStyle w:val="ListBullet"/>
      </w:pPr>
      <w:r>
        <w:t>численность, сменность и дефицитные производственные операции;</w:t>
      </w:r>
    </w:p>
    <w:p>
      <w:pPr>
        <w:pStyle w:val="ListBullet"/>
      </w:pPr>
      <w:r>
        <w:t>доля договоров с монтажом;</w:t>
      </w:r>
    </w:p>
    <w:p>
      <w:pPr>
        <w:pStyle w:val="ListBullet"/>
      </w:pPr>
      <w:r>
        <w:t>валовая прибыль по сегментам;</w:t>
      </w:r>
    </w:p>
    <w:p>
      <w:pPr>
        <w:pStyle w:val="ListBullet"/>
      </w:pPr>
      <w:r>
        <w:t>фактические конверсии Битрикс24;</w:t>
      </w:r>
    </w:p>
    <w:p>
      <w:pPr>
        <w:pStyle w:val="ListBullet"/>
      </w:pPr>
      <w:r>
        <w:t>потребность в оборотном капитале на каждой ступени мощности.</w:t>
      </w:r>
    </w:p>
    <w:p>
      <w:pPr>
        <w:pStyle w:val="Heading1"/>
      </w:pPr>
      <w:r>
        <w:t>19. Источники цифрового контура</w:t>
      </w:r>
    </w:p>
    <w:p>
      <w:pPr>
        <w:pStyle w:val="ListBullet"/>
      </w:pPr>
      <w:r>
        <w:t>STAR BUILDING: https://starbuilding.kz</w:t>
      </w:r>
    </w:p>
    <w:p>
      <w:pPr>
        <w:pStyle w:val="ListBullet"/>
      </w:pPr>
      <w:r>
        <w:t>Grand Construction: https://gc-build.kz</w:t>
      </w:r>
    </w:p>
    <w:p>
      <w:pPr>
        <w:pStyle w:val="ListBullet"/>
      </w:pPr>
      <w:r>
        <w:t>Instagram: https://www.instagram.com/starbuildingkz</w:t>
      </w:r>
    </w:p>
    <w:p>
      <w:pPr>
        <w:pStyle w:val="ListBullet"/>
      </w:pPr>
      <w:r>
        <w:t>TikTok: https://www.tiktok.com/@star_building.kz</w:t>
      </w:r>
    </w:p>
    <w:sectPr w:rsidR="00FC693F" w:rsidRPr="0006063C" w:rsidSect="00034616">
      <w:footerReference w:type="default" r:id="rId9"/>
      <w:pgSz w:w="12240" w:h="15840"/>
      <w:pgMar w:top="964" w:right="85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ТОО «Стар Билдинг» / Grand Construction — рабочая версия стратегии 2026–2027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3D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5E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