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Маркетинговый бюджет до конца 2026 года</w:t>
      </w:r>
    </w:p>
    <w:p>
      <w:pPr>
        <w:jc w:val="center"/>
      </w:pPr>
      <w:r>
        <w:t>ТОО «Стар Билдинг» и Grand Construction</w:t>
      </w:r>
    </w:p>
    <w:p>
      <w:pPr>
        <w:pStyle w:val="Heading1"/>
      </w:pPr>
      <w:r>
        <w:t>Решение для утверждения</w:t>
      </w:r>
    </w:p>
    <w:p>
      <w:r>
        <w:t>Утвердить постепенный операционный маркетинговый бюджет 3 000 000 тенге на сентябрь–декабрь 2026 года, обязательную цифровую инфраструктуру 49 260 тенге и разовое оборудование до 180 000 тенге. Общий предел — 3 229 260 тенге.</w:t>
      </w:r>
    </w:p>
    <w:p>
      <w:pPr>
        <w:pStyle w:val="Heading1"/>
      </w:pPr>
      <w:r>
        <w:t>Помесячный предел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Месяц</w:t>
            </w:r>
          </w:p>
        </w:tc>
        <w:tc>
          <w:tcPr>
            <w:tcW w:type="dxa" w:w="2074"/>
          </w:tcPr>
          <w:p>
            <w:r>
              <w:t>Маркетинг</w:t>
            </w:r>
          </w:p>
        </w:tc>
        <w:tc>
          <w:tcPr>
            <w:tcW w:type="dxa" w:w="2074"/>
          </w:tcPr>
          <w:p>
            <w:r>
              <w:t>Инфраструктура</w:t>
            </w:r>
          </w:p>
        </w:tc>
        <w:tc>
          <w:tcPr>
            <w:tcW w:type="dxa" w:w="2074"/>
          </w:tcPr>
          <w:p>
            <w:r>
              <w:t>Оборудование</w:t>
            </w:r>
          </w:p>
        </w:tc>
        <w:tc>
          <w:tcPr>
            <w:tcW w:type="dxa" w:w="2074"/>
          </w:tcPr>
          <w:p>
            <w:r>
              <w:t>Всего</w:t>
            </w:r>
          </w:p>
        </w:tc>
      </w:tr>
      <w:tr>
        <w:tc>
          <w:tcPr>
            <w:tcW w:type="dxa" w:w="2074"/>
          </w:tcPr>
          <w:p>
            <w:r>
              <w:t>Сентябрь</w:t>
            </w:r>
          </w:p>
        </w:tc>
        <w:tc>
          <w:tcPr>
            <w:tcW w:type="dxa" w:w="2074"/>
          </w:tcPr>
          <w:p>
            <w:r>
              <w:t>450 000 ₸</w:t>
            </w:r>
          </w:p>
        </w:tc>
        <w:tc>
          <w:tcPr>
            <w:tcW w:type="dxa" w:w="2074"/>
          </w:tcPr>
          <w:p>
            <w:r>
              <w:t>16 680 ₸</w:t>
            </w:r>
          </w:p>
        </w:tc>
        <w:tc>
          <w:tcPr>
            <w:tcW w:type="dxa" w:w="2074"/>
          </w:tcPr>
          <w:p>
            <w:r>
              <w:t>180 000 ₸</w:t>
            </w:r>
          </w:p>
        </w:tc>
        <w:tc>
          <w:tcPr>
            <w:tcW w:type="dxa" w:w="2074"/>
          </w:tcPr>
          <w:p>
            <w:r>
              <w:t>646 680 ₸</w:t>
            </w:r>
          </w:p>
        </w:tc>
      </w:tr>
      <w:tr>
        <w:tc>
          <w:tcPr>
            <w:tcW w:type="dxa" w:w="2074"/>
          </w:tcPr>
          <w:p>
            <w:r>
              <w:t>Октябрь</w:t>
            </w:r>
          </w:p>
        </w:tc>
        <w:tc>
          <w:tcPr>
            <w:tcW w:type="dxa" w:w="2074"/>
          </w:tcPr>
          <w:p>
            <w:r>
              <w:t>650 000 ₸</w:t>
            </w:r>
          </w:p>
        </w:tc>
        <w:tc>
          <w:tcPr>
            <w:tcW w:type="dxa" w:w="2074"/>
          </w:tcPr>
          <w:p>
            <w:r>
              <w:t>18 380 ₸</w:t>
            </w:r>
          </w:p>
        </w:tc>
        <w:tc>
          <w:tcPr>
            <w:tcW w:type="dxa" w:w="2074"/>
          </w:tcPr>
          <w:p>
            <w:r>
              <w:t>0 ₸</w:t>
            </w:r>
          </w:p>
        </w:tc>
        <w:tc>
          <w:tcPr>
            <w:tcW w:type="dxa" w:w="2074"/>
          </w:tcPr>
          <w:p>
            <w:r>
              <w:t>668 380 ₸</w:t>
            </w:r>
          </w:p>
        </w:tc>
      </w:tr>
      <w:tr>
        <w:tc>
          <w:tcPr>
            <w:tcW w:type="dxa" w:w="2074"/>
          </w:tcPr>
          <w:p>
            <w:r>
              <w:t>Ноябрь</w:t>
            </w:r>
          </w:p>
        </w:tc>
        <w:tc>
          <w:tcPr>
            <w:tcW w:type="dxa" w:w="2074"/>
          </w:tcPr>
          <w:p>
            <w:r>
              <w:t>850 000 ₸</w:t>
            </w:r>
          </w:p>
        </w:tc>
        <w:tc>
          <w:tcPr>
            <w:tcW w:type="dxa" w:w="2074"/>
          </w:tcPr>
          <w:p>
            <w:r>
              <w:t>7 100 ₸</w:t>
            </w:r>
          </w:p>
        </w:tc>
        <w:tc>
          <w:tcPr>
            <w:tcW w:type="dxa" w:w="2074"/>
          </w:tcPr>
          <w:p>
            <w:r>
              <w:t>0 ₸</w:t>
            </w:r>
          </w:p>
        </w:tc>
        <w:tc>
          <w:tcPr>
            <w:tcW w:type="dxa" w:w="2074"/>
          </w:tcPr>
          <w:p>
            <w:r>
              <w:t>857 100 ₸</w:t>
            </w:r>
          </w:p>
        </w:tc>
      </w:tr>
      <w:tr>
        <w:tc>
          <w:tcPr>
            <w:tcW w:type="dxa" w:w="2074"/>
          </w:tcPr>
          <w:p>
            <w:r>
              <w:t>Декабрь</w:t>
            </w:r>
          </w:p>
        </w:tc>
        <w:tc>
          <w:tcPr>
            <w:tcW w:type="dxa" w:w="2074"/>
          </w:tcPr>
          <w:p>
            <w:r>
              <w:t>1 050 000 ₸</w:t>
            </w:r>
          </w:p>
        </w:tc>
        <w:tc>
          <w:tcPr>
            <w:tcW w:type="dxa" w:w="2074"/>
          </w:tcPr>
          <w:p>
            <w:r>
              <w:t>7 100 ₸</w:t>
            </w:r>
          </w:p>
        </w:tc>
        <w:tc>
          <w:tcPr>
            <w:tcW w:type="dxa" w:w="2074"/>
          </w:tcPr>
          <w:p>
            <w:r>
              <w:t>0 ₸</w:t>
            </w:r>
          </w:p>
        </w:tc>
        <w:tc>
          <w:tcPr>
            <w:tcW w:type="dxa" w:w="2074"/>
          </w:tcPr>
          <w:p>
            <w:r>
              <w:t>1 057 100 ₸</w:t>
            </w:r>
          </w:p>
        </w:tc>
      </w:tr>
    </w:tbl>
    <w:p>
      <w:pPr>
        <w:pStyle w:val="Heading1"/>
      </w:pPr>
      <w:r>
        <w:t>Логика постепенного роста</w:t>
      </w:r>
    </w:p>
    <w:p>
      <w:pPr>
        <w:pStyle w:val="ListBullet"/>
      </w:pPr>
      <w:r>
        <w:t>Сентябрь: аналитика, посадочные страницы, пилот поискового спроса, квалификация в Битрикс24.</w:t>
      </w:r>
    </w:p>
    <w:p>
      <w:pPr>
        <w:pStyle w:val="ListBullet"/>
      </w:pPr>
      <w:r>
        <w:t>Октябрь: увеличение только работающих кампаний, полный SEO-пилот, отраслевой контент и партнёрства.</w:t>
      </w:r>
    </w:p>
    <w:p>
      <w:pPr>
        <w:pStyle w:val="ListBullet"/>
      </w:pPr>
      <w:r>
        <w:t>Ноябрь: расширение адресного маркетинга и первый измеримый пилот отраслевого СМИ.</w:t>
      </w:r>
    </w:p>
    <w:p>
      <w:pPr>
        <w:pStyle w:val="ListBullet"/>
      </w:pPr>
      <w:r>
        <w:t>Декабрь: масштабирование подтверждённых каналов и формирование воронки на I квартал 2027 года.</w:t>
      </w:r>
    </w:p>
    <w:p>
      <w:pPr>
        <w:pStyle w:val="Heading1"/>
      </w:pPr>
      <w:r>
        <w:t>Контрольные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Месяц</w:t>
            </w:r>
          </w:p>
        </w:tc>
        <w:tc>
          <w:tcPr>
            <w:tcW w:type="dxa" w:w="2074"/>
          </w:tcPr>
          <w:p>
            <w:r>
              <w:t>Обращения</w:t>
            </w:r>
          </w:p>
        </w:tc>
        <w:tc>
          <w:tcPr>
            <w:tcW w:type="dxa" w:w="2074"/>
          </w:tcPr>
          <w:p>
            <w:r>
              <w:t>MQL</w:t>
            </w:r>
          </w:p>
        </w:tc>
        <w:tc>
          <w:tcPr>
            <w:tcW w:type="dxa" w:w="2074"/>
          </w:tcPr>
          <w:p>
            <w:r>
              <w:t>Возможности</w:t>
            </w:r>
          </w:p>
        </w:tc>
        <w:tc>
          <w:tcPr>
            <w:tcW w:type="dxa" w:w="2074"/>
          </w:tcPr>
          <w:p>
            <w:r>
              <w:t>Воронка, т</w:t>
            </w:r>
          </w:p>
        </w:tc>
      </w:tr>
      <w:tr>
        <w:tc>
          <w:tcPr>
            <w:tcW w:type="dxa" w:w="2074"/>
          </w:tcPr>
          <w:p>
            <w:r>
              <w:t>Сентябрь</w:t>
            </w:r>
          </w:p>
        </w:tc>
        <w:tc>
          <w:tcPr>
            <w:tcW w:type="dxa" w:w="2074"/>
          </w:tcPr>
          <w:p>
            <w:r>
              <w:t>15</w:t>
            </w:r>
          </w:p>
        </w:tc>
        <w:tc>
          <w:tcPr>
            <w:tcW w:type="dxa" w:w="2074"/>
          </w:tcPr>
          <w:p>
            <w:r>
              <w:t>6</w:t>
            </w:r>
          </w:p>
        </w:tc>
        <w:tc>
          <w:tcPr>
            <w:tcW w:type="dxa" w:w="2074"/>
          </w:tcPr>
          <w:p>
            <w:r>
              <w:t>2</w:t>
            </w:r>
          </w:p>
        </w:tc>
        <w:tc>
          <w:tcPr>
            <w:tcW w:type="dxa" w:w="2074"/>
          </w:tcPr>
          <w:p>
            <w:r>
              <w:t>80</w:t>
            </w:r>
          </w:p>
        </w:tc>
      </w:tr>
      <w:tr>
        <w:tc>
          <w:tcPr>
            <w:tcW w:type="dxa" w:w="2074"/>
          </w:tcPr>
          <w:p>
            <w:r>
              <w:t>Октябрь</w:t>
            </w:r>
          </w:p>
        </w:tc>
        <w:tc>
          <w:tcPr>
            <w:tcW w:type="dxa" w:w="2074"/>
          </w:tcPr>
          <w:p>
            <w:r>
              <w:t>22</w:t>
            </w:r>
          </w:p>
        </w:tc>
        <w:tc>
          <w:tcPr>
            <w:tcW w:type="dxa" w:w="2074"/>
          </w:tcPr>
          <w:p>
            <w:r>
              <w:t>9</w:t>
            </w:r>
          </w:p>
        </w:tc>
        <w:tc>
          <w:tcPr>
            <w:tcW w:type="dxa" w:w="2074"/>
          </w:tcPr>
          <w:p>
            <w:r>
              <w:t>3</w:t>
            </w:r>
          </w:p>
        </w:tc>
        <w:tc>
          <w:tcPr>
            <w:tcW w:type="dxa" w:w="2074"/>
          </w:tcPr>
          <w:p>
            <w:r>
              <w:t>150</w:t>
            </w:r>
          </w:p>
        </w:tc>
      </w:tr>
      <w:tr>
        <w:tc>
          <w:tcPr>
            <w:tcW w:type="dxa" w:w="2074"/>
          </w:tcPr>
          <w:p>
            <w:r>
              <w:t>Ноябрь</w:t>
            </w:r>
          </w:p>
        </w:tc>
        <w:tc>
          <w:tcPr>
            <w:tcW w:type="dxa" w:w="2074"/>
          </w:tcPr>
          <w:p>
            <w:r>
              <w:t>30</w:t>
            </w:r>
          </w:p>
        </w:tc>
        <w:tc>
          <w:tcPr>
            <w:tcW w:type="dxa" w:w="2074"/>
          </w:tcPr>
          <w:p>
            <w:r>
              <w:t>12</w:t>
            </w:r>
          </w:p>
        </w:tc>
        <w:tc>
          <w:tcPr>
            <w:tcW w:type="dxa" w:w="2074"/>
          </w:tcPr>
          <w:p>
            <w:r>
              <w:t>4</w:t>
            </w:r>
          </w:p>
        </w:tc>
        <w:tc>
          <w:tcPr>
            <w:tcW w:type="dxa" w:w="2074"/>
          </w:tcPr>
          <w:p>
            <w:r>
              <w:t>220</w:t>
            </w:r>
          </w:p>
        </w:tc>
      </w:tr>
      <w:tr>
        <w:tc>
          <w:tcPr>
            <w:tcW w:type="dxa" w:w="2074"/>
          </w:tcPr>
          <w:p>
            <w:r>
              <w:t>Декабрь</w:t>
            </w:r>
          </w:p>
        </w:tc>
        <w:tc>
          <w:tcPr>
            <w:tcW w:type="dxa" w:w="2074"/>
          </w:tcPr>
          <w:p>
            <w:r>
              <w:t>38</w:t>
            </w:r>
          </w:p>
        </w:tc>
        <w:tc>
          <w:tcPr>
            <w:tcW w:type="dxa" w:w="2074"/>
          </w:tcPr>
          <w:p>
            <w:r>
              <w:t>15</w:t>
            </w:r>
          </w:p>
        </w:tc>
        <w:tc>
          <w:tcPr>
            <w:tcW w:type="dxa" w:w="2074"/>
          </w:tcPr>
          <w:p>
            <w:r>
              <w:t>5</w:t>
            </w:r>
          </w:p>
        </w:tc>
        <w:tc>
          <w:tcPr>
            <w:tcW w:type="dxa" w:w="2074"/>
          </w:tcPr>
          <w:p>
            <w:r>
              <w:t>300</w:t>
            </w:r>
          </w:p>
        </w:tc>
      </w:tr>
    </w:tbl>
    <w:p>
      <w:r>
        <w:t>Показатели являются контрольными ориентирами, а не гарантированным прогнозом. Через два месяца они заменяются фактическими конверсиями Битрикс24.</w:t>
      </w:r>
    </w:p>
    <w:p>
      <w:pPr>
        <w:pStyle w:val="Heading1"/>
      </w:pPr>
      <w:r>
        <w:t>Условия масштабирования</w:t>
      </w:r>
    </w:p>
    <w:p>
      <w:pPr>
        <w:pStyle w:val="ListBullet"/>
      </w:pPr>
      <w:r>
        <w:t>Заполнение обязательных полей Битрикс24 — не менее 95%.</w:t>
      </w:r>
    </w:p>
    <w:p>
      <w:pPr>
        <w:pStyle w:val="ListBullet"/>
      </w:pPr>
      <w:r>
        <w:t>Стоимость коммерческой возможности — не более 225 000 тенге с целевым снижением до 210 000 тенге.</w:t>
      </w:r>
    </w:p>
    <w:p>
      <w:pPr>
        <w:pStyle w:val="ListBullet"/>
      </w:pPr>
      <w:r>
        <w:t>Кампания останавливается после 100 000 тенге расходов без квалифицированной возможности.</w:t>
      </w:r>
    </w:p>
    <w:p>
      <w:pPr>
        <w:pStyle w:val="ListBullet"/>
      </w:pPr>
      <w:r>
        <w:t>Отраслевое СМИ запускается только с UTM, посадочной страницей и отслеживаемым обращением.</w:t>
      </w:r>
    </w:p>
    <w:p>
      <w:pPr>
        <w:pStyle w:val="ListBullet"/>
      </w:pPr>
      <w:r>
        <w:t>Маркетинг не обещает клиенту срок и объём без подтверждения производственного слота.</w:t>
      </w:r>
    </w:p>
    <w:p>
      <w:pPr>
        <w:pStyle w:val="Heading1"/>
      </w:pPr>
      <w:r>
        <w:t>Что не включено</w:t>
      </w:r>
    </w:p>
    <w:p>
      <w:r>
        <w:t>Фонд оплаты труда, НДС, агентские комиссии и неуточнённые подрядные ставки. Эти суммы добавляются отдельными строками после получения исходных данных.</w:t>
      </w:r>
    </w:p>
    <w:p>
      <w:pPr>
        <w:pStyle w:val="Heading1"/>
      </w:pPr>
      <w:r>
        <w:t>Вопросы для решения</w:t>
      </w:r>
    </w:p>
    <w:p>
      <w:pPr>
        <w:pStyle w:val="ListNumber"/>
      </w:pPr>
      <w:r>
        <w:t>74 000 тенге на внешние ссылки — на один сайт или на оба?</w:t>
      </w:r>
    </w:p>
    <w:p>
      <w:pPr>
        <w:pStyle w:val="ListNumber"/>
      </w:pPr>
      <w:r>
        <w:t>Какие зарплаты и налоги маркетинговой команды относятся к бюджету функции?</w:t>
      </w:r>
    </w:p>
    <w:p>
      <w:pPr>
        <w:pStyle w:val="ListNumber"/>
      </w:pPr>
      <w:r>
        <w:t>Включены ли НДС и комиссии в предложения подрядчиков?</w:t>
      </w:r>
    </w:p>
    <w:p>
      <w:pPr>
        <w:pStyle w:val="ListNumber"/>
      </w:pPr>
      <w:r>
        <w:t>Телефон мобилографа: какая утверждённая спецификация и обязателен ли расход в сентябре?</w:t>
      </w:r>
    </w:p>
    <w:sectPr w:rsidR="00FC693F" w:rsidRPr="0006063C" w:rsidSect="00034616">
      <w:pgSz w:w="12240" w:h="15840"/>
      <w:pgMar w:top="907" w:right="85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0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230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