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B365D"/>
          <w:sz w:val="48"/>
        </w:rPr>
        <w:t>GLOBAL CORPORATE CLIENT ONBOARDING &amp; REVIEW</w:t>
      </w:r>
    </w:p>
    <w:p>
      <w:pPr>
        <w:spacing w:before="0" w:after="360"/>
      </w:pPr>
      <w:r>
        <w:rPr>
          <w:rFonts w:ascii="Calibri" w:hAnsi="Calibri"/>
          <w:color w:val="008080"/>
          <w:sz w:val="28"/>
        </w:rPr>
        <w:t>Target Operating Blueprint, Stage Orchestration, Architecture &amp; Technical Specifications</w:t>
      </w:r>
    </w:p>
    <w:p>
      <w:pPr>
        <w:spacing w:after="360"/>
      </w:pPr>
      <w:r>
        <w:rPr>
          <w:b/>
          <w:color w:val="008080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360" w:after="120"/>
      </w:pPr>
      <w:r>
        <w:rPr>
          <w:rFonts w:ascii="Calibri Light" w:hAnsi="Calibri Light"/>
          <w:b/>
          <w:color w:val="1B365D"/>
          <w:sz w:val="36"/>
        </w:rPr>
        <w:t>1. Executive Summary &amp; Target Operating Blueprint</w:t>
      </w:r>
    </w:p>
    <w:p>
      <w:r>
        <w:t>To solve fragmented processes across 50+ jurisdictions and restore frontline cross-sell confidence, the bank requires an Event-Driven, Agentic Process Orchestration Architecture. Instead of sequential, linear pass-offs, the platform operates on Dynamic Parallel Execution governed by a centralized Business Rules Engine (BRE) and AI Agents. Cross-border requests are instantiated as a unified Master Onboarding Instance with jurisdictional sub-workflows.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1B365D"/>
                <w:sz w:val="21"/>
              </w:rPr>
              <w:t xml:space="preserve">STRATEGIC IMPERATIVE: </w:t>
            </w:r>
            <w:r>
              <w:rPr>
                <w:color w:val="333333"/>
                <w:sz w:val="21"/>
              </w:rPr>
              <w:t>Transitioning from legacy sequential hand-offs to an event-driven agentic orchestration reduces global onboarding cycle times from 60-90 days down to 3-5 days while ensuring strict multi-jurisdictional compliance.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7282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F8F8F2"/>
                <w:sz w:val="18"/>
              </w:rPr>
              <w:t>+-----------------------------------------------------------------------------------+</w:t>
              <w:br/>
              <w:t>|                        GLOBAL CLIENT PORTAL / CRM (Salesforce / Pega)             |</w:t>
              <w:br/>
              <w:t>+-----------------------------------------------------------------------------------+</w:t>
              <w:br/>
              <w:t xml:space="preserve">                                          |</w:t>
              <w:br/>
              <w:t xml:space="preserve">                                          v</w:t>
              <w:br/>
              <w:t>+-----------------------------------------------------------------------------------+</w:t>
              <w:br/>
              <w:t>|                 ORCHESTRATION LAYER (Event Bus &amp; Workflow Engine)                  |</w:t>
              <w:br/>
              <w:t>|          - Temporal.io / Camunda 8 Backbone  |  Global Rules Engine (DMN)           |</w:t>
              <w:br/>
              <w:t>+-----------------------------------------------------------------------------------+</w:t>
              <w:br/>
              <w:t xml:space="preserve">       |                        |                        |                        |</w:t>
              <w:br/>
              <w:t xml:space="preserve">       v                        v                        v                        v</w:t>
              <w:br/>
              <w:t>+--------------+         +--------------+         +--------------+         +--------------+</w:t>
              <w:br/>
              <w:t>| Stage 1:     |         | Stage 2:     |         | Stage 3:     |         | Stage 4 &amp; 5: |</w:t>
              <w:br/>
              <w:t>| Intake &amp; 360 | ------&gt; | Tax          | ------&gt; | Enrich &amp;     | ------&gt; | KYC &amp; Account|</w:t>
              <w:br/>
              <w:t>| Profiling    |         | Evaluation   |         | ID&amp;V         |         | Provisioning |</w:t>
              <w:br/>
              <w:t>+--------------+         +--------------+         +--------------+         +--------------+</w:t>
              <w:br/>
              <w:t xml:space="preserve">       |                        |                        |                        |</w:t>
              <w:br/>
              <w:t xml:space="preserve">       +------------------------+------------------------+------------------------+</w:t>
              <w:br/>
              <w:t xml:space="preserve">                                          |</w:t>
              <w:br/>
              <w:t xml:space="preserve">                                          v</w:t>
              <w:br/>
              <w:t>+-----------------------------------------------------------------------------------+</w:t>
              <w:br/>
              <w:t>|                         AGENTIC AI &amp; DATA FABRIC LAYER                            |</w:t>
              <w:br/>
              <w:t>|    - GenAI Document OCR    - Graph Resolution (Neo4j)    - Screening &amp; EDD Agent |</w:t>
              <w:br/>
              <w:t>+-----------------------------------------------------------------------------------+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Calibri Light" w:hAnsi="Calibri Light"/>
          <w:b/>
          <w:color w:val="1B365D"/>
          <w:sz w:val="36"/>
        </w:rPr>
        <w:t>2. Stage Orchestration &amp; Execution Strategy</w:t>
      </w:r>
    </w:p>
    <w:p>
      <w:r>
        <w:t>Execution modes across all five onboarding stages are categorized into three distinct operational patterns:</w:t>
      </w:r>
    </w:p>
    <w:p>
      <w:pPr>
        <w:pStyle w:val="ListBullet"/>
      </w:pPr>
      <w:r>
        <w:rPr>
          <w:b/>
        </w:rPr>
        <w:t xml:space="preserve">Automated (API / Deterministic Rule): </w:t>
      </w:r>
      <w:r>
        <w:t>Instantaneous execution with zero human intervention for structured calculations, registry lookups, and rule evaluation.</w:t>
      </w:r>
    </w:p>
    <w:p>
      <w:pPr>
        <w:pStyle w:val="ListBullet"/>
      </w:pPr>
      <w:r>
        <w:rPr>
          <w:b/>
        </w:rPr>
        <w:t xml:space="preserve">Agentic (AI/GenAI + Human-in-the-Loop): </w:t>
      </w:r>
      <w:r>
        <w:t>Intelligent document extraction, entity disambiguation, narrative synthesis, and auto-disposition with human review reserved for high-risk flags.</w:t>
      </w:r>
    </w:p>
    <w:p>
      <w:pPr>
        <w:pStyle w:val="ListBullet"/>
      </w:pPr>
      <w:r>
        <w:rPr>
          <w:b/>
        </w:rPr>
        <w:t xml:space="preserve">Human Task: </w:t>
      </w:r>
      <w:r>
        <w:t>Mandatory decision points, complex legal entity structuring, signature approvals, and senior compliance officer sign-offs.</w:t>
      </w:r>
    </w:p>
    <w:p/>
    <w:p>
      <w:pPr>
        <w:keepNext/>
        <w:spacing w:before="360" w:after="120"/>
      </w:pPr>
      <w:r>
        <w:rPr>
          <w:rFonts w:ascii="Calibri Light" w:hAnsi="Calibri Light"/>
          <w:b/>
          <w:color w:val="1B365D"/>
          <w:sz w:val="36"/>
        </w:rPr>
        <w:t>3. Detailed Design: Stage 1 – Intake Stage</w:t>
      </w:r>
    </w:p>
    <w:p>
      <w:r>
        <w:t>The Intake stage receives prospects directly from CRM, enriches company profile data via external registries, selects target booking jurisdictions and products, builds a dynamic document request matrix, and performs initial pre-screening.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Step #</w:t>
            </w:r>
          </w:p>
        </w:tc>
        <w:tc>
          <w:tcPr>
            <w:tcW w:type="dxa" w:w="259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Step Description</w:t>
            </w:r>
          </w:p>
        </w:tc>
        <w:tc>
          <w:tcPr>
            <w:tcW w:type="dxa" w:w="1584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Execution Type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Tech Stack / Systems</w:t>
            </w:r>
          </w:p>
        </w:tc>
        <w:tc>
          <w:tcPr>
            <w:tcW w:type="dxa" w:w="2448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Inputs &amp; Outputs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1.1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Handshake &amp; Payload Ingestion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Automated (API)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Salesforce / Pega API, Kafka Event Bus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In: CRM Deal ID, Legal Name, Reg #.</w:t>
              <w:br/>
              <w:t>Out: Master Onboarding Case ID.</w:t>
            </w:r>
          </w:p>
        </w:tc>
      </w:tr>
      <w:tr>
        <w:tc>
          <w:tcPr>
            <w:tcW w:type="dxa" w:w="864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1.2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Jurisdiction &amp; Product Scoping</w:t>
            </w:r>
          </w:p>
        </w:tc>
        <w:tc>
          <w:tcPr>
            <w:tcW w:type="dxa" w:w="1584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Automated (Rule)</w:t>
            </w:r>
          </w:p>
        </w:tc>
        <w:tc>
          <w:tcPr>
            <w:tcW w:type="dxa" w:w="187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Camunda DMN / Drools BRE</w:t>
            </w:r>
          </w:p>
        </w:tc>
        <w:tc>
          <w:tcPr>
            <w:tcW w:type="dxa" w:w="244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In: Scope selections.</w:t>
              <w:br/>
              <w:t>Out: Dynamic Doc Matrix &amp; Ruleset.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1.3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Data Enrichment &amp; Pull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Automated (API)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Dun &amp; Bradstreet, Moody's, OpenCorporates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In: Entity Name, Reg #.</w:t>
              <w:br/>
              <w:t>Out: Normalized Data &amp; Org Chart PDF.</w:t>
            </w:r>
          </w:p>
        </w:tc>
      </w:tr>
      <w:tr>
        <w:tc>
          <w:tcPr>
            <w:tcW w:type="dxa" w:w="864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1.4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Document Extraction</w:t>
            </w:r>
          </w:p>
        </w:tc>
        <w:tc>
          <w:tcPr>
            <w:tcW w:type="dxa" w:w="1584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Agentic AI</w:t>
            </w:r>
          </w:p>
        </w:tc>
        <w:tc>
          <w:tcPr>
            <w:tcW w:type="dxa" w:w="187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Azure Doc Intelligence + LLM</w:t>
            </w:r>
          </w:p>
        </w:tc>
        <w:tc>
          <w:tcPr>
            <w:tcW w:type="dxa" w:w="244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In: Articles of Assoc, Share Register.</w:t>
              <w:br/>
              <w:t>Out: Structured Ownership Tree.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1.5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Pre-Screening &amp; Adverse Media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Agentic AI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LexisNexis Bridger + LLM Agent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In: Entity &amp; Officer Names.</w:t>
              <w:br/>
              <w:t>Out: Match Score, Risk Narrative.</w:t>
            </w:r>
          </w:p>
        </w:tc>
      </w:tr>
      <w:tr>
        <w:tc>
          <w:tcPr>
            <w:tcW w:type="dxa" w:w="864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1.6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360 Profile &amp; RM Sign-off</w:t>
            </w:r>
          </w:p>
        </w:tc>
        <w:tc>
          <w:tcPr>
            <w:tcW w:type="dxa" w:w="1584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Human Task</w:t>
            </w:r>
          </w:p>
        </w:tc>
        <w:tc>
          <w:tcPr>
            <w:tcW w:type="dxa" w:w="187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Unified Workstation (React UI)</w:t>
            </w:r>
          </w:p>
        </w:tc>
        <w:tc>
          <w:tcPr>
            <w:tcW w:type="dxa" w:w="244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In: Aggregated Intake Payload.</w:t>
              <w:br/>
              <w:t>Out: RM Approval / Scope Modification.</w:t>
            </w:r>
          </w:p>
        </w:tc>
      </w:tr>
    </w:tbl>
    <w:p>
      <w:pPr>
        <w:keepNext/>
        <w:spacing w:before="200" w:after="40"/>
      </w:pPr>
      <w:r>
        <w:rPr>
          <w:rFonts w:ascii="Calibri" w:hAnsi="Calibri"/>
          <w:b/>
          <w:color w:val="1B365D"/>
          <w:sz w:val="24"/>
        </w:rPr>
        <w:t>Stage 1 Business Rules &amp; Edge Cases</w:t>
      </w:r>
    </w:p>
    <w:p>
      <w:r>
        <w:rPr>
          <w:b/>
        </w:rPr>
        <w:t xml:space="preserve">• Multi-Jurisdiction Scope Rule: </w:t>
      </w:r>
      <w:r>
        <w:t>If selected booking locations have conflicting regulatory frameworks (e.g., EU GDPR vs US Patriot Act), the orchestrator spawns jurisdictional sub-cases while sharing core documents.</w:t>
        <w:br/>
      </w:r>
      <w:r>
        <w:rPr>
          <w:b/>
        </w:rPr>
        <w:t xml:space="preserve">• Complex Ownership Threshold: </w:t>
      </w:r>
      <w:r>
        <w:t>Structures containing offshore trusts, shell entities, or multi-tiered holding companies across &gt;3 jurisdictions auto-flag for Specialized Structuring Operations.</w:t>
        <w:br/>
      </w:r>
      <w:r>
        <w:rPr>
          <w:b/>
        </w:rPr>
        <w:t xml:space="preserve">• 24-Month Adverse Media Lookback: </w:t>
      </w:r>
      <w:r>
        <w:t>AI Agents filter out generic legal suits, isolating financial crimes, ESG violations, and corruption within a 24-month rolling window.</w:t>
      </w:r>
    </w:p>
    <w:p>
      <w:pPr>
        <w:keepNext/>
        <w:spacing w:before="360" w:after="120"/>
      </w:pPr>
      <w:r>
        <w:rPr>
          <w:rFonts w:ascii="Calibri Light" w:hAnsi="Calibri Light"/>
          <w:b/>
          <w:color w:val="1B365D"/>
          <w:sz w:val="36"/>
        </w:rPr>
        <w:t>4. Detailed Design: Stage 2 – Tax Evaluation Stage</w:t>
      </w:r>
    </w:p>
    <w:p>
      <w:r>
        <w:t>Stage 2 establishes the global tax profile for the client based on selected jurisdictions, validating FATCA, CRS, W-8/W-9 forms, and withholding tax (WHT) obligations.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Step #</w:t>
            </w:r>
          </w:p>
        </w:tc>
        <w:tc>
          <w:tcPr>
            <w:tcW w:type="dxa" w:w="259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Step Description</w:t>
            </w:r>
          </w:p>
        </w:tc>
        <w:tc>
          <w:tcPr>
            <w:tcW w:type="dxa" w:w="1584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Execution Type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Tech Stack / Systems</w:t>
            </w:r>
          </w:p>
        </w:tc>
        <w:tc>
          <w:tcPr>
            <w:tcW w:type="dxa" w:w="2448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Inputs &amp; Outputs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2.1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Tax Classification Engine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Automated (Rule)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Jurisdictional Tax DMN Engine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In: Entity Type, Income Types.</w:t>
              <w:br/>
              <w:t>Out: Tax Status &amp; Form Checklist.</w:t>
            </w:r>
          </w:p>
        </w:tc>
      </w:tr>
      <w:tr>
        <w:tc>
          <w:tcPr>
            <w:tcW w:type="dxa" w:w="864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2.2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Document Request &amp; Ingestion</w:t>
            </w:r>
          </w:p>
        </w:tc>
        <w:tc>
          <w:tcPr>
            <w:tcW w:type="dxa" w:w="1584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Automated (API)</w:t>
            </w:r>
          </w:p>
        </w:tc>
        <w:tc>
          <w:tcPr>
            <w:tcW w:type="dxa" w:w="187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Digital Client Portal / e-Sign</w:t>
            </w:r>
          </w:p>
        </w:tc>
        <w:tc>
          <w:tcPr>
            <w:tcW w:type="dxa" w:w="244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In: Form Requests.</w:t>
              <w:br/>
              <w:t>Out: Completed Tax Package PDF.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2.3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Form Parsing &amp; Validation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Agentic AI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Vision LLM + IRS GIIN Portal API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In: Signed PDF Forms.</w:t>
              <w:br/>
              <w:t>Out: Verified Fields &amp; GIIN Match.</w:t>
            </w:r>
          </w:p>
        </w:tc>
      </w:tr>
      <w:tr>
        <w:tc>
          <w:tcPr>
            <w:tcW w:type="dxa" w:w="864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2.4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Local WHT Rate Calculation</w:t>
            </w:r>
          </w:p>
        </w:tc>
        <w:tc>
          <w:tcPr>
            <w:tcW w:type="dxa" w:w="1584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Automated (Rule)</w:t>
            </w:r>
          </w:p>
        </w:tc>
        <w:tc>
          <w:tcPr>
            <w:tcW w:type="dxa" w:w="187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Global Tax Engine</w:t>
            </w:r>
          </w:p>
        </w:tc>
        <w:tc>
          <w:tcPr>
            <w:tcW w:type="dxa" w:w="244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In: Jurisdictions, Products.</w:t>
              <w:br/>
              <w:t>Out: Applicable WHT Rates.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2.5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Tax Exception Review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Human Task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Tax Operations Queue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In: Flagged Package + AI Discrepancies.</w:t>
              <w:br/>
              <w:t>Out: Tax Operational Sign-off.</w:t>
            </w:r>
          </w:p>
        </w:tc>
      </w:tr>
    </w:tbl>
    <w:p>
      <w:pPr>
        <w:keepNext/>
        <w:spacing w:before="200" w:after="40"/>
      </w:pPr>
      <w:r>
        <w:rPr>
          <w:rFonts w:ascii="Calibri" w:hAnsi="Calibri"/>
          <w:b/>
          <w:color w:val="1B365D"/>
          <w:sz w:val="24"/>
        </w:rPr>
        <w:t>Stage 2 Business Rules &amp; Edge Cases</w:t>
      </w:r>
    </w:p>
    <w:p>
      <w:r>
        <w:rPr>
          <w:b/>
        </w:rPr>
        <w:t xml:space="preserve">• FATCA NPFFI Rule: </w:t>
      </w:r>
      <w:r>
        <w:t>Entities identified as Non-Participating FFIs trigger a high-risk workflow tag and notify Product Delivery of 30% US withholding applicability.</w:t>
        <w:br/>
      </w:r>
      <w:r>
        <w:rPr>
          <w:b/>
        </w:rPr>
        <w:t xml:space="preserve">• CRS Controlling Person Trigger: </w:t>
      </w:r>
      <w:r>
        <w:t>For Passive NFFEs, the rules engine automatically forces Stage 3 to lower UBO identification thresholds from 25% down to 10%.</w:t>
        <w:br/>
      </w:r>
      <w:r>
        <w:rPr>
          <w:b/>
        </w:rPr>
        <w:t xml:space="preserve">• Automated Form Expiry Tracking: </w:t>
      </w:r>
      <w:r>
        <w:t>Tax document expiry dates are registered in the Master Data Index to schedule auto-re-certification 90 days prior to expiration.</w:t>
      </w:r>
    </w:p>
    <w:p>
      <w:pPr>
        <w:keepNext/>
        <w:spacing w:before="360" w:after="120"/>
      </w:pPr>
      <w:r>
        <w:rPr>
          <w:rFonts w:ascii="Calibri Light" w:hAnsi="Calibri Light"/>
          <w:b/>
          <w:color w:val="1B365D"/>
          <w:sz w:val="36"/>
        </w:rPr>
        <w:t>5. Detailed Design: Stage 3 – Enrich Stage (Ownership &amp; ID&amp;V)</w:t>
      </w:r>
    </w:p>
    <w:p>
      <w:r>
        <w:t>Stage 3 resolves entity control chains, builds graph ownership models down to 10% thresholds, and coordinates biometric and document ID&amp;V for all Ultimate Beneficial Owners (UBOs), Directors, and Key Controllers.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Step #</w:t>
            </w:r>
          </w:p>
        </w:tc>
        <w:tc>
          <w:tcPr>
            <w:tcW w:type="dxa" w:w="259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Step Description</w:t>
            </w:r>
          </w:p>
        </w:tc>
        <w:tc>
          <w:tcPr>
            <w:tcW w:type="dxa" w:w="1584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Execution Type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Tech Stack / Systems</w:t>
            </w:r>
          </w:p>
        </w:tc>
        <w:tc>
          <w:tcPr>
            <w:tcW w:type="dxa" w:w="2448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Inputs &amp; Outputs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3.1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Hierarchy Ingestion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Automated (API)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Bureau van Dijk Orbis, D&amp;B API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In: LEI, Reg Numbers.</w:t>
              <w:br/>
              <w:t>Out: Raw Corporate Tree JSON.</w:t>
            </w:r>
          </w:p>
        </w:tc>
      </w:tr>
      <w:tr>
        <w:tc>
          <w:tcPr>
            <w:tcW w:type="dxa" w:w="864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3.2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Graph Resolution &amp; UBO Calc</w:t>
            </w:r>
          </w:p>
        </w:tc>
        <w:tc>
          <w:tcPr>
            <w:tcW w:type="dxa" w:w="1584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Automated (Rule)</w:t>
            </w:r>
          </w:p>
        </w:tc>
        <w:tc>
          <w:tcPr>
            <w:tcW w:type="dxa" w:w="187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Neo4j Graph Database</w:t>
            </w:r>
          </w:p>
        </w:tc>
        <w:tc>
          <w:tcPr>
            <w:tcW w:type="dxa" w:w="244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In: Hierarchy JSON, 10% Rule.</w:t>
              <w:br/>
              <w:t>Out: Target UBO &amp; Officer List.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3.3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Ownership Chart Extraction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Agentic AI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Vision LLM Agent (GPT-4o)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In: PDF Charts, Registry Logs.</w:t>
              <w:br/>
              <w:t>Out: Reconciliation Report.</w:t>
            </w:r>
          </w:p>
        </w:tc>
      </w:tr>
      <w:tr>
        <w:tc>
          <w:tcPr>
            <w:tcW w:type="dxa" w:w="864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3.4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Digital ID&amp;V Outreach</w:t>
            </w:r>
          </w:p>
        </w:tc>
        <w:tc>
          <w:tcPr>
            <w:tcW w:type="dxa" w:w="1584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Automated (API)</w:t>
            </w:r>
          </w:p>
        </w:tc>
        <w:tc>
          <w:tcPr>
            <w:tcW w:type="dxa" w:w="187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Jumio / Onfido / IDnow Gateway</w:t>
            </w:r>
          </w:p>
        </w:tc>
        <w:tc>
          <w:tcPr>
            <w:tcW w:type="dxa" w:w="244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In: Individual Details, Email.</w:t>
              <w:br/>
              <w:t>Out: Biometric &amp; Liveness Result.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3.5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Entity Verification &amp; LEI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Automated (API)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GLEIF API, Corporate Registries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In: Intermediate Entity LEIs.</w:t>
              <w:br/>
              <w:t>Out: Active Standing Confirmation.</w:t>
            </w:r>
          </w:p>
        </w:tc>
      </w:tr>
      <w:tr>
        <w:tc>
          <w:tcPr>
            <w:tcW w:type="dxa" w:w="864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3.6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Exception &amp; Structuring Sign-off</w:t>
            </w:r>
          </w:p>
        </w:tc>
        <w:tc>
          <w:tcPr>
            <w:tcW w:type="dxa" w:w="1584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Human Task</w:t>
            </w:r>
          </w:p>
        </w:tc>
        <w:tc>
          <w:tcPr>
            <w:tcW w:type="dxa" w:w="187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Operations Workstation</w:t>
            </w:r>
          </w:p>
        </w:tc>
        <w:tc>
          <w:tcPr>
            <w:tcW w:type="dxa" w:w="244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In: Aggregate Graph, Audit Logs.</w:t>
              <w:br/>
              <w:t>Out: Approved Ownership Map.</w:t>
            </w:r>
          </w:p>
        </w:tc>
      </w:tr>
    </w:tbl>
    <w:p>
      <w:pPr>
        <w:keepNext/>
        <w:spacing w:before="200" w:after="40"/>
      </w:pPr>
      <w:r>
        <w:rPr>
          <w:rFonts w:ascii="Calibri" w:hAnsi="Calibri"/>
          <w:b/>
          <w:color w:val="1B365D"/>
          <w:sz w:val="24"/>
        </w:rPr>
        <w:t>Ownership Calculation Formula &amp; Rules</w:t>
      </w:r>
    </w:p>
    <w:p>
      <w:r>
        <w:t>Direct ownership is combined with indirect ownership calculated as the product of percentage stakes across multi-tiered corporate layers:</w:t>
        <w:br/>
      </w:r>
    </w:p>
    <w:p>
      <w:pPr>
        <w:jc w:val="center"/>
      </w:pPr>
      <w:r>
        <w:rPr>
          <w:b/>
          <w:color w:val="1B365D"/>
        </w:rPr>
        <w:t>P_indirect = ∏ (Ownership_i)   ==&gt;   Total Ownership = P_direct + P_indirect ≥ 10%</w:t>
      </w:r>
    </w:p>
    <w:p>
      <w:pPr>
        <w:keepNext/>
        <w:spacing w:before="360" w:after="120"/>
      </w:pPr>
      <w:r>
        <w:rPr>
          <w:rFonts w:ascii="Calibri Light" w:hAnsi="Calibri Light"/>
          <w:b/>
          <w:color w:val="1B365D"/>
          <w:sz w:val="36"/>
        </w:rPr>
        <w:t>6. Detailed Design: Stage 4 – KYC &amp; Risk Assessment Stage</w:t>
      </w:r>
    </w:p>
    <w:p>
      <w:r>
        <w:t>Stage 4 calculates multi-factor client risk ratings, executes continuous sanctions/PEP/adverse media screening, uses Agentic AI to clear false positives, and generates draft Enhanced Due Diligence (EDD) memos.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Step #</w:t>
            </w:r>
          </w:p>
        </w:tc>
        <w:tc>
          <w:tcPr>
            <w:tcW w:type="dxa" w:w="259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Step Description</w:t>
            </w:r>
          </w:p>
        </w:tc>
        <w:tc>
          <w:tcPr>
            <w:tcW w:type="dxa" w:w="1584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Execution Type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Tech Stack / Systems</w:t>
            </w:r>
          </w:p>
        </w:tc>
        <w:tc>
          <w:tcPr>
            <w:tcW w:type="dxa" w:w="2448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Inputs &amp; Outputs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4.1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Client Risk Scoring (CRA)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Automated (Rule)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Proprietary CRA Engine (DMN)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In: Geography, Industry, Products.</w:t>
              <w:br/>
              <w:t>Out: Numerical Risk Score &amp; Tier.</w:t>
            </w:r>
          </w:p>
        </w:tc>
      </w:tr>
      <w:tr>
        <w:tc>
          <w:tcPr>
            <w:tcW w:type="dxa" w:w="864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4.2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Watchlist &amp; Media Screening</w:t>
            </w:r>
          </w:p>
        </w:tc>
        <w:tc>
          <w:tcPr>
            <w:tcW w:type="dxa" w:w="1584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Automated (API)</w:t>
            </w:r>
          </w:p>
        </w:tc>
        <w:tc>
          <w:tcPr>
            <w:tcW w:type="dxa" w:w="187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LexisNexis Bridger, World-Check</w:t>
            </w:r>
          </w:p>
        </w:tc>
        <w:tc>
          <w:tcPr>
            <w:tcW w:type="dxa" w:w="244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In: Entity &amp; Officer Names, DOBs.</w:t>
              <w:br/>
              <w:t>Out: Raw Hits &amp; Alert IDs.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4.3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Agentic Match Disambiguation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Agentic AI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Screening Resolution Agent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In: Raw Hits, Verified ID Data.</w:t>
              <w:br/>
              <w:t>Out: Cleared Hits &amp; True Candidates.</w:t>
            </w:r>
          </w:p>
        </w:tc>
      </w:tr>
      <w:tr>
        <w:tc>
          <w:tcPr>
            <w:tcW w:type="dxa" w:w="864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4.4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Agentic EDD Memo Synthesis</w:t>
            </w:r>
          </w:p>
        </w:tc>
        <w:tc>
          <w:tcPr>
            <w:tcW w:type="dxa" w:w="1584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Agentic AI</w:t>
            </w:r>
          </w:p>
        </w:tc>
        <w:tc>
          <w:tcPr>
            <w:tcW w:type="dxa" w:w="187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GenAI Compliance Agent</w:t>
            </w:r>
          </w:p>
        </w:tc>
        <w:tc>
          <w:tcPr>
            <w:tcW w:type="dxa" w:w="244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In: Profile, Source of Wealth, Media.</w:t>
              <w:br/>
              <w:t>Out: Draft EDD Memorandum.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4.5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Sanctions Nexus Traversal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Automated (Rule)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Neo4j Graph Analytics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In: Corridors, Ownership Nodes.</w:t>
              <w:br/>
              <w:t>Out: Nexus Severity Index.</w:t>
            </w:r>
          </w:p>
        </w:tc>
      </w:tr>
      <w:tr>
        <w:tc>
          <w:tcPr>
            <w:tcW w:type="dxa" w:w="864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4.6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Compliance Review &amp; Sign-off</w:t>
            </w:r>
          </w:p>
        </w:tc>
        <w:tc>
          <w:tcPr>
            <w:tcW w:type="dxa" w:w="1584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Human Task</w:t>
            </w:r>
          </w:p>
        </w:tc>
        <w:tc>
          <w:tcPr>
            <w:tcW w:type="dxa" w:w="187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Compliance Case Manager UI</w:t>
            </w:r>
          </w:p>
        </w:tc>
        <w:tc>
          <w:tcPr>
            <w:tcW w:type="dxa" w:w="244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In: CRA Score, EDD Memo, Hits.</w:t>
              <w:br/>
              <w:t>Out: Final KYC Approval &amp; Review Date.</w:t>
            </w:r>
          </w:p>
        </w:tc>
      </w:tr>
    </w:tbl>
    <w:p>
      <w:pPr>
        <w:keepNext/>
        <w:spacing w:before="360" w:after="120"/>
      </w:pPr>
      <w:r>
        <w:rPr>
          <w:rFonts w:ascii="Calibri Light" w:hAnsi="Calibri Light"/>
          <w:b/>
          <w:color w:val="1B365D"/>
          <w:sz w:val="36"/>
        </w:rPr>
        <w:t>7. Detailed Design: Stage 5 – Account Provisioning Stage</w:t>
      </w:r>
    </w:p>
    <w:p>
      <w:r>
        <w:t>Stage 5 provisions active transaction accounts across core banking, FX, derivatives, trade finance, and lending systems using an idempotent Saga Pattern to handle distributed multi-system execution.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Step #</w:t>
            </w:r>
          </w:p>
        </w:tc>
        <w:tc>
          <w:tcPr>
            <w:tcW w:type="dxa" w:w="259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Step Description</w:t>
            </w:r>
          </w:p>
        </w:tc>
        <w:tc>
          <w:tcPr>
            <w:tcW w:type="dxa" w:w="1584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Execution Type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Tech Stack / Systems</w:t>
            </w:r>
          </w:p>
        </w:tc>
        <w:tc>
          <w:tcPr>
            <w:tcW w:type="dxa" w:w="2448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Inputs &amp; Outputs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5.1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Payload Schema Mapping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Automated (API)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Apache Camel / Data Mapper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In: Approved Master Client Record.</w:t>
              <w:br/>
              <w:t>Out: System-Specific XML/JSON.</w:t>
            </w:r>
          </w:p>
        </w:tc>
      </w:tr>
      <w:tr>
        <w:tc>
          <w:tcPr>
            <w:tcW w:type="dxa" w:w="864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5.2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Parallel Provisioning Dispatch</w:t>
            </w:r>
          </w:p>
        </w:tc>
        <w:tc>
          <w:tcPr>
            <w:tcW w:type="dxa" w:w="1584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Automated (API)</w:t>
            </w:r>
          </w:p>
        </w:tc>
        <w:tc>
          <w:tcPr>
            <w:tcW w:type="dxa" w:w="187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Temporal.io Saga Orchestrator</w:t>
            </w:r>
          </w:p>
        </w:tc>
        <w:tc>
          <w:tcPr>
            <w:tcW w:type="dxa" w:w="244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In: Mapped Payloads.</w:t>
              <w:br/>
              <w:t>Out: Account References &amp; Status.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5.3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IBAN / BIC / Routing Gen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Automated (API)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Global Account Numbering System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In: Booking Entity, Currency.</w:t>
              <w:br/>
              <w:t>Out: Allocated IBANs &amp; SWIFT BICs.</w:t>
            </w:r>
          </w:p>
        </w:tc>
      </w:tr>
      <w:tr>
        <w:tc>
          <w:tcPr>
            <w:tcW w:type="dxa" w:w="864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5.4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Credit Line &amp; Limit Binding</w:t>
            </w:r>
          </w:p>
        </w:tc>
        <w:tc>
          <w:tcPr>
            <w:tcW w:type="dxa" w:w="1584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Automated (API)</w:t>
            </w:r>
          </w:p>
        </w:tc>
        <w:tc>
          <w:tcPr>
            <w:tcW w:type="dxa" w:w="187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Global Limits &amp; Exposure Engine</w:t>
            </w:r>
          </w:p>
        </w:tc>
        <w:tc>
          <w:tcPr>
            <w:tcW w:type="dxa" w:w="244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In: Sanction ID, Limit Amounts.</w:t>
              <w:br/>
              <w:t>Out: Active Credit Facility.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5.5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Provisioning Health Check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Automated (API)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Automated Testing Gateway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In: Account Identifiers.</w:t>
              <w:br/>
              <w:t>Out: Health Verification Logs.</w:t>
            </w:r>
          </w:p>
        </w:tc>
      </w:tr>
      <w:tr>
        <w:tc>
          <w:tcPr>
            <w:tcW w:type="dxa" w:w="864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5.6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Frontline Handover &amp; Portal</w:t>
            </w:r>
          </w:p>
        </w:tc>
        <w:tc>
          <w:tcPr>
            <w:tcW w:type="dxa" w:w="1584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Hybrid</w:t>
            </w:r>
          </w:p>
        </w:tc>
        <w:tc>
          <w:tcPr>
            <w:tcW w:type="dxa" w:w="187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Salesforce CRM, Client Portal</w:t>
            </w:r>
          </w:p>
        </w:tc>
        <w:tc>
          <w:tcPr>
            <w:tcW w:type="dxa" w:w="244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In: Account Inventory.</w:t>
              <w:br/>
              <w:t>Out: Portal Credentials &amp; CRM Sync.</w:t>
            </w:r>
          </w:p>
        </w:tc>
      </w:tr>
    </w:tbl>
    <w:p>
      <w:pPr>
        <w:keepNext/>
        <w:spacing w:before="360" w:after="120"/>
      </w:pPr>
      <w:r>
        <w:rPr>
          <w:rFonts w:ascii="Calibri Light" w:hAnsi="Calibri Light"/>
          <w:b/>
          <w:color w:val="1B365D"/>
          <w:sz w:val="36"/>
        </w:rPr>
        <w:t>8. Technical Architecture &amp; Data Specifications</w:t>
      </w:r>
    </w:p>
    <w:p>
      <w:pPr>
        <w:keepNext/>
        <w:spacing w:before="280" w:after="80"/>
      </w:pPr>
      <w:r>
        <w:rPr>
          <w:rFonts w:ascii="Calibri" w:hAnsi="Calibri"/>
          <w:b/>
          <w:color w:val="008080"/>
          <w:sz w:val="28"/>
        </w:rPr>
        <w:t>Kafka Event Schema: Stage 3 Completion (`onboarding.enrichment.completed`)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7282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F8F8F2"/>
                <w:sz w:val="18"/>
              </w:rPr>
              <w:t>{</w:t>
              <w:br/>
              <w:t xml:space="preserve">  "$schema": "http://json-schema.org/draft-07/schema#",</w:t>
              <w:br/>
              <w:t xml:space="preserve">  "$id": "https://schemas.globalbank.com/onboarding/enrichment-completed.v1.json",</w:t>
              <w:br/>
              <w:t xml:space="preserve">  "title": "EnrichmentCompletedEvent",</w:t>
              <w:br/>
              <w:t xml:space="preserve">  "type": "object",</w:t>
              <w:br/>
              <w:t xml:space="preserve">  "required": ["eventId", "eventType", "timestamp", "caseId", "masterClientId", "entityDetails", "verifiedParties"],</w:t>
              <w:br/>
              <w:t xml:space="preserve">  "properties": {</w:t>
              <w:br/>
              <w:t xml:space="preserve">    "eventId": { "type": "string", "format": "uuid" },</w:t>
              <w:br/>
              <w:t xml:space="preserve">    "eventType": { "type": "string", "enum": ["ENRICHMENT_COMPLETED"] },</w:t>
              <w:br/>
              <w:t xml:space="preserve">    "timestamp": { "type": "string", "format": "date-time" },</w:t>
              <w:br/>
              <w:t xml:space="preserve">    "caseId": { "type": "string", "pattern": "^ONB-[0-9]{8}$" },</w:t>
              <w:br/>
              <w:t xml:space="preserve">    "masterClientId": { "type": "string", "pattern": "^MCL-[0-9]{10}$" },</w:t>
              <w:br/>
              <w:t xml:space="preserve">    "entityDetails": {</w:t>
              <w:br/>
              <w:t xml:space="preserve">      "type": "object",</w:t>
              <w:br/>
              <w:t xml:space="preserve">      "required": ["legalName", "registrationNumber", "jurisdictionOfIncorporation", "lei"],</w:t>
              <w:br/>
              <w:t xml:space="preserve">      "properties": {</w:t>
              <w:br/>
              <w:t xml:space="preserve">        "legalName": { "type": "string" },</w:t>
              <w:br/>
              <w:t xml:space="preserve">        "registrationNumber": { "type": "string" },</w:t>
              <w:br/>
              <w:t xml:space="preserve">        "jurisdictionOfIncorporation": { "type": "string", "minLength": 2, "maxLength": 2 },</w:t>
              <w:br/>
              <w:t xml:space="preserve">        "lei": { "type": "string", "pattern": "^[A-Z0-9]{20}$" }</w:t>
              <w:br/>
              <w:t xml:space="preserve">      }</w:t>
              <w:br/>
              <w:t xml:space="preserve">    },</w:t>
              <w:br/>
              <w:t xml:space="preserve">    "verifiedParties": {</w:t>
              <w:br/>
              <w:t xml:space="preserve">      "type": "array",</w:t>
              <w:br/>
              <w:t xml:space="preserve">      "items": {</w:t>
              <w:br/>
              <w:t xml:space="preserve">        "type": "object",</w:t>
              <w:br/>
              <w:t xml:space="preserve">        "required": ["partyId", "partyType", "fullName", "ownershipPercentage", "idvStatus"],</w:t>
              <w:br/>
              <w:t xml:space="preserve">        "properties": {</w:t>
              <w:br/>
              <w:t xml:space="preserve">          "partyId": { "type": "string", "format": "uuid" },</w:t>
              <w:br/>
              <w:t xml:space="preserve">          "partyType": { "type": "string", "enum": ["UBO", "DIRECTOR", "AUTHORIZED_SIGNATORY", "TRUSTEE"] },</w:t>
              <w:br/>
              <w:t xml:space="preserve">          "fullName": { "type": "string" },</w:t>
              <w:br/>
              <w:t xml:space="preserve">          "ownershipPercentage": { "type": "number", "minimum": 0, "maximum": 100 },</w:t>
              <w:br/>
              <w:t xml:space="preserve">          "idvStatus": { "type": "string", "enum": ["PASSED", "PASSED_WITH_EXCEPTIONS", "FAILED"] }</w:t>
              <w:br/>
              <w:t xml:space="preserve">        }</w:t>
              <w:br/>
              <w:t xml:space="preserve">      }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008080"/>
          <w:sz w:val="28"/>
        </w:rPr>
        <w:t>OpenAPI 3.1 Spec: Stage 4 KYC API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7282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F8F8F2"/>
                <w:sz w:val="18"/>
              </w:rPr>
              <w:t>openapi: 3.1.0</w:t>
              <w:br/>
              <w:t>info:</w:t>
              <w:br/>
              <w:t xml:space="preserve">  title: Stage 4 - KYC &amp; Risk Assessment Service API</w:t>
              <w:br/>
              <w:t xml:space="preserve">  version: 1.0.0</w:t>
              <w:br/>
              <w:t>paths:</w:t>
              <w:br/>
              <w:t xml:space="preserve">  /assessments:</w:t>
              <w:br/>
              <w:t xml:space="preserve">    post:</w:t>
              <w:br/>
              <w:t xml:space="preserve">      summary: Trigger Client Risk Assessment &amp; Screening</w:t>
              <w:br/>
              <w:t xml:space="preserve">      operationId: createKycAssessment</w:t>
              <w:br/>
              <w:t xml:space="preserve">      requestBody:</w:t>
              <w:br/>
              <w:t xml:space="preserve">        required: true</w:t>
              <w:br/>
              <w:t xml:space="preserve">        content:</w:t>
              <w:br/>
              <w:t xml:space="preserve">          application/json:</w:t>
              <w:br/>
              <w:t xml:space="preserve">            schema:</w:t>
              <w:br/>
              <w:t xml:space="preserve">              type: object</w:t>
              <w:br/>
              <w:t xml:space="preserve">              required: [caseId, masterClientId, entityName, jurisdiction, productCodes]</w:t>
              <w:br/>
              <w:t xml:space="preserve">              properties:</w:t>
              <w:br/>
              <w:t xml:space="preserve">                caseId: { type: string, example: "ONB-83920194" }</w:t>
              <w:br/>
              <w:t xml:space="preserve">                masterClientId: { type: string, example: "MCL-1029384756" }</w:t>
              <w:br/>
              <w:t xml:space="preserve">                entityName: { type: string, example: "Acme Global Holdings Ltd" }</w:t>
              <w:br/>
              <w:t xml:space="preserve">                jurisdiction: { type: string, example: "GB" }</w:t>
              <w:br/>
              <w:t xml:space="preserve">                productCodes: { type: array, items: { type: string }, example: ["CASH_MGMT", "FX_TRADING"] }</w:t>
              <w:br/>
              <w:t xml:space="preserve">      responses:</w:t>
              <w:br/>
              <w:t xml:space="preserve">        '202':</w:t>
              <w:br/>
              <w:t xml:space="preserve">          description: Assessment initiated asynchronously.</w:t>
              <w:br/>
              <w:t xml:space="preserve">  /assessments/{assessmentId}/edd-summary:</w:t>
              <w:br/>
              <w:t xml:space="preserve">    get:</w:t>
              <w:br/>
              <w:t xml:space="preserve">      summary: Retrieve Agentic GenAI-Generated EDD Summary</w:t>
              <w:br/>
              <w:t xml:space="preserve">      operationId: getEddSummary</w:t>
              <w:br/>
              <w:t xml:space="preserve">      responses:</w:t>
              <w:br/>
              <w:t xml:space="preserve">        '200':</w:t>
              <w:br/>
              <w:t xml:space="preserve">          description: EDD narrative retrieved successfully.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Calibri Light" w:hAnsi="Calibri Light"/>
          <w:b/>
          <w:color w:val="1B365D"/>
          <w:sz w:val="36"/>
        </w:rPr>
        <w:t>9. Target Outcomes &amp; Key 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Operational Metric</w:t>
            </w:r>
          </w:p>
        </w:tc>
        <w:tc>
          <w:tcPr>
            <w:tcW w:type="dxa" w:w="1728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Legacy Baseline</w:t>
            </w:r>
          </w:p>
        </w:tc>
        <w:tc>
          <w:tcPr>
            <w:tcW w:type="dxa" w:w="2016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Target State</w:t>
            </w:r>
          </w:p>
        </w:tc>
        <w:tc>
          <w:tcPr>
            <w:tcW w:type="dxa" w:w="3024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Core Architectural Driver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Total Onboarding Cycle Time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60 – 90 Days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3 – 5 Days (Fast-track: &lt;24h)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Parallel execution, automated registry pull, and AI doc parsing.</w:t>
            </w:r>
          </w:p>
        </w:tc>
      </w:tr>
      <w:tr>
        <w:tc>
          <w:tcPr>
            <w:tcW w:type="dxa" w:w="259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False-Positive Screening Workload</w:t>
            </w:r>
          </w:p>
        </w:tc>
        <w:tc>
          <w:tcPr>
            <w:tcW w:type="dxa" w:w="172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100% Manual Review</w:t>
            </w:r>
          </w:p>
        </w:tc>
        <w:tc>
          <w:tcPr>
            <w:tcW w:type="dxa" w:w="2016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&lt; 15% Manual Review</w:t>
            </w:r>
          </w:p>
        </w:tc>
        <w:tc>
          <w:tcPr>
            <w:tcW w:type="dxa" w:w="3024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Agentic AI match disambiguation and entity resolution.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Data Rework &amp; Error Rate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&gt; 40% of cases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&lt; 1% Rework Rate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Single-source data fabric pushed via idempotent APIs.</w:t>
            </w:r>
          </w:p>
        </w:tc>
      </w:tr>
      <w:tr>
        <w:tc>
          <w:tcPr>
            <w:tcW w:type="dxa" w:w="259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Frontline Cross-Sell Confidence</w:t>
            </w:r>
          </w:p>
        </w:tc>
        <w:tc>
          <w:tcPr>
            <w:tcW w:type="dxa" w:w="172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Low (Process friction)</w:t>
            </w:r>
          </w:p>
        </w:tc>
        <w:tc>
          <w:tcPr>
            <w:tcW w:type="dxa" w:w="2016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High (Real-time tracking)</w:t>
            </w:r>
          </w:p>
        </w:tc>
        <w:tc>
          <w:tcPr>
            <w:tcW w:type="dxa" w:w="3024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CCCCC"/>
              <w:left w:val="none"/>
              <w:bottom w:val="single" w:sz="2" w:space="0" w:color="CCCCCC"/>
              <w:right w:val="none"/>
            </w:tcBorders>
          </w:tcPr>
          <w:p>
            <w:r>
              <w:rPr>
                <w:color w:val="333333"/>
                <w:sz w:val="19"/>
              </w:rPr>
              <w:t>Unified RM Workstation &amp; proactive status notifications.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1B365D"/>
                <w:sz w:val="21"/>
              </w:rPr>
              <w:t xml:space="preserve">DOCUMENT COMPLETE: </w:t>
            </w:r>
            <w:r>
              <w:rPr>
                <w:color w:val="333333"/>
                <w:sz w:val="21"/>
              </w:rPr>
              <w:t>This Word document contains the complete, unabridged architectural design, event schemas, API contracts, and operational blueprints for the Global Bank Corporate Client Onboarding Transformation.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