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Onboard.AI Policy Engine</w:t>
      </w:r>
    </w:p>
    <w:p>
      <w:pPr>
        <w:spacing w:after="80"/>
      </w:pPr>
      <w:r>
        <w:rPr>
          <w:rFonts w:ascii="Calibri" w:cs="Calibri" w:eastAsia="Calibri" w:hAnsi="Calibri"/>
          <w:b/>
          <w:bCs/>
          <w:color w:val="1F3864"/>
          <w:sz w:val="26"/>
          <w:szCs w:val="26"/>
        </w:rPr>
        <w:t xml:space="preserve">Agentic Digital Policy Engine for Corporate &amp; Institutional Onboarding</w:t>
      </w:r>
    </w:p>
    <w:p>
      <w:pPr>
        <w:spacing w:after="40"/>
      </w:pPr>
      <w:r>
        <w:rPr>
          <w:rFonts w:ascii="Calibri" w:cs="Calibri" w:eastAsia="Calibri" w:hAnsi="Calibri"/>
          <w:i/>
          <w:iCs/>
          <w:color w:val="555555"/>
          <w:sz w:val="22"/>
          <w:szCs w:val="22"/>
        </w:rPr>
        <w:t xml:space="preserve">Architecture Design Document — v0.1 (Working Draft)</w:t>
      </w:r>
    </w:p>
    <w:p>
      <w:pPr>
        <w:spacing w:after="400"/>
      </w:pPr>
      <w:r>
        <w:rPr>
          <w:rFonts w:ascii="Calibri" w:cs="Calibri" w:eastAsia="Calibri" w:hAnsi="Calibri"/>
          <w:color w:val="555555"/>
          <w:sz w:val="20"/>
          <w:szCs w:val="20"/>
        </w:rPr>
        <w:t xml:space="preserve">Prepared for: Corporate &amp; Institutional Banking (CIB) — Client Onboarding Modernisation</w:t>
      </w:r>
    </w:p>
    <w:p>
      <w:r>
        <w:br w:type="page"/>
      </w:r>
    </w:p>
    <w:p>
      <w:pPr>
        <w:pStyle w:val="Heading1"/>
        <w:spacing w:after="120" w:before="24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t xml:space="preserve">1. Purpose and Scope</w:t>
      </w:r>
    </w:p>
    <w:p>
      <w:pPr>
        <w:spacing w:after="140"/>
      </w:pPr>
      <w:r>
        <w:rPr>
          <w:rFonts w:ascii="Calibri" w:cs="Calibri" w:eastAsia="Calibri" w:hAnsi="Calibri"/>
          <w:sz w:val="22"/>
          <w:szCs w:val="22"/>
        </w:rPr>
        <w:t xml:space="preserve">This document defines the architecture for a Digital Policy Engine that converts complex, human-authored onboarding policy documents — a global policy plus one or more country-level policy addenda — into a structured, versioned, machine-consumable rule set. That rule set drives a fleet of narrow, single-skill agents (built with LangChain and orchestrated with LangGraph) that perform tax validation, regulatory (AML/CFT) validation, risk calculation, screening, beneficial-ownership (UBO) identification, and required-document determination during corporate client onboarding.</w:t>
      </w:r>
    </w:p>
    <w:p>
      <w:pPr>
        <w:spacing w:after="140"/>
      </w:pPr>
      <w:r>
        <w:rPr>
          <w:rFonts w:ascii="Calibri" w:cs="Calibri" w:eastAsia="Calibri" w:hAnsi="Calibri"/>
          <w:sz w:val="22"/>
          <w:szCs w:val="22"/>
        </w:rPr>
        <w:t xml:space="preserve">The design deliberately moves away from BPM/case-flow tooling (e.g. Pega-style workflows) toward an agentic model, consistent with the broader Onboard.AI programme direction: many narrow-skill agents rather than a small number of broad, do-everything agents, with human-in-the-loop retained only where judgement or accountability genuinely requires it.</w:t>
      </w:r>
    </w:p>
    <w:p>
      <w:pPr>
        <w:spacing w:after="140"/>
      </w:pPr>
      <w:r>
        <w:rPr>
          <w:rFonts w:ascii="Calibri" w:cs="Calibri" w:eastAsia="Calibri" w:hAnsi="Calibri"/>
          <w:sz w:val="22"/>
          <w:szCs w:val="22"/>
        </w:rPr>
        <w:t xml:space="preserve">A working demonstration accompanies this document. It digitises an excerpt of the FATF Recommendation 10 Customer Due Diligence standard as the “global policy” and an excerpt of Singapore's MAS Notice 626 as the “country delta”, merges them into an effective rule set for a Singapore corporate onboarding case, and runs a LangGraph agent flow against that rule set.</w:t>
      </w:r>
    </w:p>
    <w:p>
      <w:pPr>
        <w:pStyle w:val="Heading1"/>
        <w:spacing w:after="120" w:before="240"/>
      </w:pPr>
      <w:r>
        <w:t xml:space="preserve">2. Clarifications, Ambiguities and Working Assumptions</w:t>
      </w:r>
    </w:p>
    <w:p>
      <w:pPr>
        <w:spacing w:after="140"/>
      </w:pPr>
      <w:r>
        <w:rPr>
          <w:rFonts w:ascii="Calibri" w:cs="Calibri" w:eastAsia="Calibri" w:hAnsi="Calibri"/>
          <w:sz w:val="22"/>
          <w:szCs w:val="22"/>
        </w:rPr>
        <w:t xml:space="preserve">The brief is intentionally broad. The following points were ambiguous or unspecified; rather than block on them, this draft states the assumption made so it can be corrected in review.</w:t>
      </w:r>
    </w:p>
    <w:p>
      <w:pPr>
        <w:pStyle w:val="ListParagraph"/>
        <w:numPr>
          <w:ilvl w:val="0"/>
          <w:numId w:val="2"/>
        </w:numPr>
        <w:spacing w:after="80"/>
      </w:pPr>
      <w:r>
        <w:rPr>
          <w:rFonts w:ascii="Calibri" w:cs="Calibri" w:eastAsia="Calibri" w:hAnsi="Calibri"/>
          <w:sz w:val="22"/>
          <w:szCs w:val="22"/>
        </w:rPr>
        <w:t xml:space="preserve">Which policy corpus? No actual bank policy document was provided. Assumption: FATF Recommendation 10 (Customer Due Diligence) is used as the global-policy proxy, and MAS Notice 626 (Singapore) as the country-delta proxy — both real, public, and structurally representative of a bank's own global AML/KYC policy plus a country regulatory addendum. Swapping in the bank's actual policy text requires no architectural change, only re-running the ingestion pipeline.</w:t>
      </w:r>
    </w:p>
    <w:p>
      <w:pPr>
        <w:pStyle w:val="ListParagraph"/>
        <w:numPr>
          <w:ilvl w:val="0"/>
          <w:numId w:val="2"/>
        </w:numPr>
        <w:spacing w:after="80"/>
      </w:pPr>
      <w:r>
        <w:rPr>
          <w:rFonts w:ascii="Calibri" w:cs="Calibri" w:eastAsia="Calibri" w:hAnsi="Calibri"/>
          <w:sz w:val="22"/>
          <w:szCs w:val="22"/>
        </w:rPr>
        <w:t xml:space="preserve">Which domains are in scope for the demo? The prompt lists tax, regulatory/AML, risk, screening, and UBO/beneficial-ownership. The demo implements all five as agents but only fully digitises rules for the AML/CDD and UBO domains from the two source documents, since tax and screening rules were not present in FATF R.10 / MAS 626 text. This is flagged, not hidden — the agents and rule schema are domain-agnostic, so adding a tax-treaty or sanctions-list source document is an ingestion-config change, not a redesign.</w:t>
      </w:r>
    </w:p>
    <w:p>
      <w:pPr>
        <w:pStyle w:val="ListParagraph"/>
        <w:numPr>
          <w:ilvl w:val="0"/>
          <w:numId w:val="2"/>
        </w:numPr>
        <w:spacing w:after="80"/>
      </w:pPr>
      <w:r>
        <w:rPr>
          <w:rFonts w:ascii="Calibri" w:cs="Calibri" w:eastAsia="Calibri" w:hAnsi="Calibri"/>
          <w:sz w:val="22"/>
          <w:szCs w:val="22"/>
        </w:rPr>
        <w:t xml:space="preserve">Definition of “no hallucination”. Interpreted as: (a) policy-to-rule extraction is treated as a governed, human-reviewed data-authoring step, not a live runtime inference; (b) at runtime, agents never ask an LLM to recall or restate policy from memory — they deterministically query a versioned rule store via tool calls; (c) any LLM-generated narrative (e.g. a rationale shown to an ops user) must cite rule IDs that are programmatically verified to exist before the response is released. This is a materially stronger bar than “prompt the LLM carefully”, and is reflected throughout Sections 5–7.</w:t>
      </w:r>
    </w:p>
    <w:p>
      <w:pPr>
        <w:pStyle w:val="ListParagraph"/>
        <w:numPr>
          <w:ilvl w:val="0"/>
          <w:numId w:val="2"/>
        </w:numPr>
        <w:spacing w:after="80"/>
      </w:pPr>
      <w:r>
        <w:rPr>
          <w:rFonts w:ascii="Calibri" w:cs="Calibri" w:eastAsia="Calibri" w:hAnsi="Calibri"/>
          <w:sz w:val="22"/>
          <w:szCs w:val="22"/>
        </w:rPr>
        <w:t xml:space="preserve">LLM/runtime. Assumption: Anthropic Claude via langchain-anthropic, temperature 0 for extraction and validation steps. This sandbox has no live API credential, so the accompanying code is production-ready but the demo run uses a deterministic extraction stand-in (clearly labelled) for the one step that would otherwise call the LLM, so the rest of the pipeline (merge, graph execution, citation-guard, output) runs end-to-end on real logic.</w:t>
      </w:r>
    </w:p>
    <w:p>
      <w:pPr>
        <w:pStyle w:val="ListParagraph"/>
        <w:numPr>
          <w:ilvl w:val="0"/>
          <w:numId w:val="2"/>
        </w:numPr>
        <w:spacing w:after="80"/>
      </w:pPr>
      <w:r>
        <w:rPr>
          <w:rFonts w:ascii="Calibri" w:cs="Calibri" w:eastAsia="Calibri" w:hAnsi="Calibri"/>
          <w:sz w:val="22"/>
          <w:szCs w:val="22"/>
        </w:rPr>
        <w:t xml:space="preserve">Country delta relationship to global policy. Assumption, stated explicitly because it is a real design decision, not a default: a country delta may only add or tighten a requirement, never loosen a global one. Where both specify a control, the more prescriptive figure wins (e.g. a numeric beneficial-ownership threshold beats an unquantified “identify beneficial owners” clause). This rule is enforced in code, not left to an LLM's judgement at merge time.</w:t>
      </w:r>
    </w:p>
    <w:p>
      <w:pPr>
        <w:pStyle w:val="ListParagraph"/>
        <w:numPr>
          <w:ilvl w:val="0"/>
          <w:numId w:val="2"/>
        </w:numPr>
        <w:spacing w:after="80"/>
      </w:pPr>
      <w:r>
        <w:rPr>
          <w:rFonts w:ascii="Calibri" w:cs="Calibri" w:eastAsia="Calibri" w:hAnsi="Calibri"/>
          <w:sz w:val="22"/>
          <w:szCs w:val="22"/>
        </w:rPr>
        <w:t xml:space="preserve">Human-in-the-loop scope. Assumption: humans approve policy digitisation (rule promotion from draft to approved) and adjudicate any case where required evidence is missing or an agent's confidence is below threshold. Humans are not in the loop for routine, fully-evidenced cases — consistent with the “as few human touchpoints as possible” requirement noted for Onboard.AI generally.</w:t>
      </w:r>
    </w:p>
    <w:p>
      <w:pPr>
        <w:pStyle w:val="Heading1"/>
        <w:spacing w:after="120" w:before="240"/>
      </w:pPr>
      <w:r>
        <w:t xml:space="preserve">3. Design Principles</w:t>
      </w:r>
    </w:p>
    <w:p>
      <w:pPr>
        <w:pStyle w:val="ListParagraph"/>
        <w:numPr>
          <w:ilvl w:val="0"/>
          <w:numId w:val="2"/>
        </w:numPr>
        <w:spacing w:after="80"/>
      </w:pPr>
      <w:r>
        <w:rPr>
          <w:rFonts w:ascii="Calibri" w:cs="Calibri" w:eastAsia="Calibri" w:hAnsi="Calibri"/>
          <w:sz w:val="22"/>
          <w:szCs w:val="22"/>
        </w:rPr>
        <w:t xml:space="preserve">Digitise once, consult many times. Policy text is parsed into structured rules exactly once (per policy version) under human review; every onboarding case thereafter is a deterministic lookup against that rule store, not a fresh re-interpretation of prose.</w:t>
      </w:r>
    </w:p>
    <w:p>
      <w:pPr>
        <w:pStyle w:val="ListParagraph"/>
        <w:numPr>
          <w:ilvl w:val="0"/>
          <w:numId w:val="2"/>
        </w:numPr>
        <w:spacing w:after="80"/>
      </w:pPr>
      <w:r>
        <w:rPr>
          <w:rFonts w:ascii="Calibri" w:cs="Calibri" w:eastAsia="Calibri" w:hAnsi="Calibri"/>
          <w:sz w:val="22"/>
          <w:szCs w:val="22"/>
        </w:rPr>
        <w:t xml:space="preserve">Narrow agents over broad agents. Each runtime agent owns one skill (e.g. “compute UBO chain”) and one tool surface. This bounds the blast radius of any single agent's error and makes behaviour testable in isolation.</w:t>
      </w:r>
    </w:p>
    <w:p>
      <w:pPr>
        <w:pStyle w:val="ListParagraph"/>
        <w:numPr>
          <w:ilvl w:val="0"/>
          <w:numId w:val="2"/>
        </w:numPr>
        <w:spacing w:after="80"/>
      </w:pPr>
      <w:r>
        <w:rPr>
          <w:rFonts w:ascii="Calibri" w:cs="Calibri" w:eastAsia="Calibri" w:hAnsi="Calibri"/>
          <w:sz w:val="22"/>
          <w:szCs w:val="22"/>
        </w:rPr>
        <w:t xml:space="preserve">Retrieval and computation, not recollection. Agents call tools (rule lookups, calculators, registries) for anything that must be factually correct. The LLM's role is narrowed to classification, extraction-with-citation, and drafting human-readable explanations — never to being the source of truth for a policy fact.</w:t>
      </w:r>
    </w:p>
    <w:p>
      <w:pPr>
        <w:pStyle w:val="ListParagraph"/>
        <w:numPr>
          <w:ilvl w:val="0"/>
          <w:numId w:val="2"/>
        </w:numPr>
        <w:spacing w:after="80"/>
      </w:pPr>
      <w:r>
        <w:rPr>
          <w:rFonts w:ascii="Calibri" w:cs="Calibri" w:eastAsia="Calibri" w:hAnsi="Calibri"/>
          <w:sz w:val="22"/>
          <w:szCs w:val="22"/>
        </w:rPr>
        <w:t xml:space="preserve">Every fact is traceable to a source. Each digitised rule keeps the source document, version, section/paragraph reference and the literal condition. Every agent decision references rule IDs, and a dedicated guard step verifies those IDs are real before the decision is finalised.</w:t>
      </w:r>
    </w:p>
    <w:p>
      <w:pPr>
        <w:pStyle w:val="ListParagraph"/>
        <w:numPr>
          <w:ilvl w:val="0"/>
          <w:numId w:val="2"/>
        </w:numPr>
        <w:spacing w:after="80"/>
      </w:pPr>
      <w:r>
        <w:rPr>
          <w:rFonts w:ascii="Calibri" w:cs="Calibri" w:eastAsia="Calibri" w:hAnsi="Calibri"/>
          <w:sz w:val="22"/>
          <w:szCs w:val="22"/>
        </w:rPr>
        <w:t xml:space="preserve">Global baseline, additive country deltas. One canonical global rule set; country packs express only the differences. This avoids N full copies of policy for N countries and makes the “what's different about Singapore” question directly answerable.</w:t>
      </w:r>
    </w:p>
    <w:p>
      <w:pPr>
        <w:pStyle w:val="ListParagraph"/>
        <w:numPr>
          <w:ilvl w:val="0"/>
          <w:numId w:val="2"/>
        </w:numPr>
        <w:spacing w:after="80"/>
      </w:pPr>
      <w:r>
        <w:rPr>
          <w:rFonts w:ascii="Calibri" w:cs="Calibri" w:eastAsia="Calibri" w:hAnsi="Calibri"/>
          <w:sz w:val="22"/>
          <w:szCs w:val="22"/>
        </w:rPr>
        <w:t xml:space="preserve">Fail closed, not open. Missing data, missing evidence, an unresolvable conflict, or a low-confidence extraction routes to a human reviewer instead of being guessed.</w:t>
      </w:r>
    </w:p>
    <w:p>
      <w:pPr>
        <w:pStyle w:val="Heading1"/>
        <w:spacing w:after="120" w:before="240"/>
      </w:pPr>
      <w:r>
        <w:t xml:space="preserve">4. High-Level Architecture</w:t>
      </w:r>
    </w:p>
    <w:p>
      <w:pPr>
        <w:spacing w:after="140"/>
      </w:pPr>
      <w:r>
        <w:rPr>
          <w:rFonts w:ascii="Calibri" w:cs="Calibri" w:eastAsia="Calibri" w:hAnsi="Calibri"/>
          <w:sz w:val="22"/>
          <w:szCs w:val="22"/>
        </w:rPr>
        <w:t xml:space="preserve">The solution has two planes that run on very different cadences: a slow, governed Policy Digitisation Plane (runs when a policy document is published or amended) and a fast, deterministic Onboarding Execution Plane (runs per client case). They share one artefact: the versioned Rule Store.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00"/>
      </w:tblGrid>
      <w:tr>
        <w:trPr>
          <w:tblHeader/>
        </w:trPr>
        <w:tc>
          <w:tcPr>
            <w:tcW w:type="dxa" w:w="2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Layer</w:t>
            </w:r>
          </w:p>
        </w:tc>
        <w:tc>
          <w:tcPr>
            <w:tcW w:type="dxa" w:w="3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Purpose</w:t>
            </w:r>
          </w:p>
        </w:tc>
        <w:tc>
          <w:tcPr>
            <w:tcW w:type="dxa" w:w="4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Representative components</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1. Policy Sources</w:t>
            </w:r>
          </w:p>
        </w:tc>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Raw inputs</w:t>
            </w:r>
          </w:p>
        </w:tc>
        <w:tc>
          <w:tcPr>
            <w:tcW w:type="dxa" w:w="4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Global AML/KYC policy, country regulatory notices/circulars, internal risk appetite statements</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2. Policy Digitisation Plane</w:t>
            </w:r>
          </w:p>
        </w:tc>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Turn prose into governed, structured rules</w:t>
            </w:r>
          </w:p>
        </w:tc>
        <w:tc>
          <w:tcPr>
            <w:tcW w:type="dxa" w:w="4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Ingestion agent, Extraction agent, Schema-conformance checker, Citation-verifier, Human sign-off gate, Rule Store writer</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3. Rule Store</w:t>
            </w:r>
          </w:p>
        </w:tc>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Versioned source of truth for all runtime agents</w:t>
            </w:r>
          </w:p>
        </w:tc>
        <w:tc>
          <w:tcPr>
            <w:tcW w:type="dxa" w:w="4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Global rule set, Country delta packs, Effective-rule resolver, Change history / audit log</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4. Onboarding Execution Plane (LangGraph)</w:t>
            </w:r>
          </w:p>
        </w:tc>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Per-case agentic execution</w:t>
            </w:r>
          </w:p>
        </w:tc>
        <w:tc>
          <w:tcPr>
            <w:tcW w:type="dxa" w:w="4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Supervisor/orchestrator, Tax, Regulatory (AML/CDD), Risk, Screening, UBO, Document-Evidence agents; Citation guard; HITL interrupt</w:t>
            </w:r>
          </w:p>
        </w:tc>
      </w:tr>
      <w:tr>
        <w:tc>
          <w:tcPr>
            <w:tcW w:type="dxa" w:w="2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5. Case &amp; Evidence Store</w:t>
            </w:r>
          </w:p>
        </w:tc>
        <w:tc>
          <w:tcPr>
            <w:tcW w:type="dxa" w:w="3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Client-specific data</w:t>
            </w:r>
          </w:p>
        </w:tc>
        <w:tc>
          <w:tcPr>
            <w:tcW w:type="dxa" w:w="4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Submitted data fields, document evidence, case state, decision log</w:t>
            </w:r>
          </w:p>
        </w:tc>
      </w:tr>
      <w:tr>
        <w:tc>
          <w:tcPr>
            <w:tcW w:type="dxa" w:w="2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6. Human Oversight</w:t>
            </w:r>
          </w:p>
        </w:tc>
        <w:tc>
          <w:tcPr>
            <w:tcW w:type="dxa" w:w="3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Governance and exceptions</w:t>
            </w:r>
          </w:p>
        </w:tc>
        <w:tc>
          <w:tcPr>
            <w:tcW w:type="dxa" w:w="4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Policy sign-off reviewers, exception/queue reviewers, MI &amp; audit dashboards</w:t>
            </w:r>
          </w:p>
        </w:tc>
      </w:tr>
    </w:tbl>
    <w:p>
      <w:pPr>
        <w:pBdr>
          <w:left w:val="single" w:color="1F3864" w:sz="12" w:space="8"/>
        </w:pBdr>
        <w:spacing w:after="140"/>
        <w:ind w:left="200"/>
      </w:pPr>
      <w:r>
        <w:rPr>
          <w:rFonts w:ascii="Calibri" w:cs="Calibri" w:eastAsia="Calibri" w:hAnsi="Calibri"/>
          <w:i/>
          <w:iCs/>
          <w:color w:val="555555"/>
          <w:sz w:val="20"/>
          <w:szCs w:val="20"/>
        </w:rPr>
        <w:t xml:space="preserve">This six-layer view is a domain-specific instantiation of the broader Onboard.AI layered/agent-mesh direction (narrow-skill agents, minimal BPM); it does not replace that architecture, it specialises the policy-and-rules slice of it.</w:t>
      </w:r>
    </w:p>
    <w:p>
      <w:pPr>
        <w:pStyle w:val="Heading1"/>
        <w:spacing w:after="120" w:before="240"/>
      </w:pPr>
      <w:r>
        <w:t xml:space="preserve">5. Policy Digitisation Pipeline</w:t>
      </w:r>
    </w:p>
    <w:p>
      <w:pPr>
        <w:spacing w:after="140"/>
      </w:pPr>
      <w:r>
        <w:rPr>
          <w:rFonts w:ascii="Calibri" w:cs="Calibri" w:eastAsia="Calibri" w:hAnsi="Calibri"/>
          <w:sz w:val="22"/>
          <w:szCs w:val="22"/>
        </w:rPr>
        <w:t xml:space="preserve">Goal: convert a policy PDF/HTML document into rule records that are structurally identical whether the source was the global policy or a country delta, so the same merge and execution logic applies to both.</w:t>
      </w:r>
    </w:p>
    <w:p>
      <w:pPr>
        <w:pStyle w:val="Heading2"/>
        <w:spacing w:after="120" w:before="240"/>
      </w:pPr>
      <w:r>
        <w:t xml:space="preserve">5.1 Pipeline Steps</w:t>
      </w:r>
    </w:p>
    <w:p>
      <w:pPr>
        <w:pStyle w:val="ListParagraph"/>
        <w:numPr>
          <w:ilvl w:val="0"/>
          <w:numId w:val="2"/>
        </w:numPr>
        <w:spacing w:after="80"/>
      </w:pPr>
      <w:r>
        <w:rPr>
          <w:rFonts w:ascii="Calibri" w:cs="Calibri" w:eastAsia="Calibri" w:hAnsi="Calibri"/>
          <w:sz w:val="22"/>
          <w:szCs w:val="22"/>
        </w:rPr>
        <w:t xml:space="preserve">Ingestion — fetch/parse the source document into clean, section-addressable text (paragraph/section numbers preserved so every downstream rule can cite “MAS Notice 626, para 6.16” rather than a page number).</w:t>
      </w:r>
    </w:p>
    <w:p>
      <w:pPr>
        <w:pStyle w:val="ListParagraph"/>
        <w:numPr>
          <w:ilvl w:val="0"/>
          <w:numId w:val="2"/>
        </w:numPr>
        <w:spacing w:after="80"/>
      </w:pPr>
      <w:r>
        <w:rPr>
          <w:rFonts w:ascii="Calibri" w:cs="Calibri" w:eastAsia="Calibri" w:hAnsi="Calibri"/>
          <w:sz w:val="22"/>
          <w:szCs w:val="22"/>
        </w:rPr>
        <w:t xml:space="preserve">Candidate extraction — an LLM call, constrained to a strict JSON schema (Section 6) and temperature 0, proposes rule candidates: one obligation per rule, with its trigger condition, required data fields, required document evidence, and a verbatim short citation span.</w:t>
      </w:r>
    </w:p>
    <w:p>
      <w:pPr>
        <w:pStyle w:val="ListParagraph"/>
        <w:numPr>
          <w:ilvl w:val="0"/>
          <w:numId w:val="2"/>
        </w:numPr>
        <w:spacing w:after="80"/>
      </w:pPr>
      <w:r>
        <w:rPr>
          <w:rFonts w:ascii="Calibri" w:cs="Calibri" w:eastAsia="Calibri" w:hAnsi="Calibri"/>
          <w:sz w:val="22"/>
          <w:szCs w:val="22"/>
        </w:rPr>
        <w:t xml:space="preserve">Citation verification — a deterministic check (substring/fuzzy match) confirms each candidate's citation text actually appears in the source section it claims. Candidates that fail are rejected automatically, not silently kept.</w:t>
      </w:r>
    </w:p>
    <w:p>
      <w:pPr>
        <w:pStyle w:val="ListParagraph"/>
        <w:numPr>
          <w:ilvl w:val="0"/>
          <w:numId w:val="2"/>
        </w:numPr>
        <w:spacing w:after="80"/>
      </w:pPr>
      <w:r>
        <w:rPr>
          <w:rFonts w:ascii="Calibri" w:cs="Calibri" w:eastAsia="Calibri" w:hAnsi="Calibri"/>
          <w:sz w:val="22"/>
          <w:szCs w:val="22"/>
        </w:rPr>
        <w:t xml:space="preserve">Schema conformance — candidates are validated against the Rule Store's Pydantic/JSON Schema; malformed candidates are rejected with a machine-readable reason.</w:t>
      </w:r>
    </w:p>
    <w:p>
      <w:pPr>
        <w:pStyle w:val="ListParagraph"/>
        <w:numPr>
          <w:ilvl w:val="0"/>
          <w:numId w:val="2"/>
        </w:numPr>
        <w:spacing w:after="80"/>
      </w:pPr>
      <w:r>
        <w:rPr>
          <w:rFonts w:ascii="Calibri" w:cs="Calibri" w:eastAsia="Calibri" w:hAnsi="Calibri"/>
          <w:sz w:val="22"/>
          <w:szCs w:val="22"/>
        </w:rPr>
        <w:t xml:space="preserve">Human sign-off gate — a compliance/policy owner reviews the diff between the previous rule version and the new candidates in a single screen (new rules, changed rules, retired rules) and approves, edits, or rejects. Nothing reaches “approved” status without this step.</w:t>
      </w:r>
    </w:p>
    <w:p>
      <w:pPr>
        <w:pStyle w:val="ListParagraph"/>
        <w:numPr>
          <w:ilvl w:val="0"/>
          <w:numId w:val="2"/>
        </w:numPr>
        <w:spacing w:after="80"/>
      </w:pPr>
      <w:r>
        <w:rPr>
          <w:rFonts w:ascii="Calibri" w:cs="Calibri" w:eastAsia="Calibri" w:hAnsi="Calibri"/>
          <w:sz w:val="22"/>
          <w:szCs w:val="22"/>
        </w:rPr>
        <w:t xml:space="preserve">Publish — approved rules are written to the Rule Store as a new immutable version; the previous version is retained for audit and for any case already mid-flight under it.</w:t>
      </w:r>
    </w:p>
    <w:p>
      <w:pPr>
        <w:pStyle w:val="Heading2"/>
        <w:spacing w:after="120" w:before="240"/>
      </w:pPr>
      <w:r>
        <w:t xml:space="preserve">5.2 Why this removes hallucination risk from the runtime path</w:t>
      </w:r>
    </w:p>
    <w:p>
      <w:pPr>
        <w:spacing w:after="140"/>
      </w:pPr>
      <w:r>
        <w:rPr>
          <w:rFonts w:ascii="Calibri" w:cs="Calibri" w:eastAsia="Calibri" w:hAnsi="Calibri"/>
          <w:sz w:val="22"/>
          <w:szCs w:val="22"/>
        </w:rPr>
        <w:t xml:space="preserve">The only step where an LLM is asked to “interpret” policy prose is step 2, and its output is (a) schema-constrained, (b) citation-checked against the literal source text, and (c) human-approved before it can influence a single client case. Once published, runtime agents never re-derive policy meaning — they look it up.</w:t>
      </w:r>
    </w:p>
    <w:p>
      <w:pPr>
        <w:pStyle w:val="Heading1"/>
        <w:spacing w:after="120" w:before="240"/>
      </w:pPr>
      <w:r>
        <w:t xml:space="preserve">6. Rule Store Data Model</w:t>
      </w:r>
    </w:p>
    <w:p>
      <w:pPr>
        <w:spacing w:after="140"/>
      </w:pPr>
      <w:r>
        <w:rPr>
          <w:rFonts w:ascii="Calibri" w:cs="Calibri" w:eastAsia="Calibri" w:hAnsi="Calibri"/>
          <w:sz w:val="22"/>
          <w:szCs w:val="22"/>
        </w:rPr>
        <w:t xml:space="preserve">Every rule, whether sourced from the global policy or a country delta, conforms to one schema. Country rules add a scope and, where relevant, an override_of reference to the global rule they tighten.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800"/>
      </w:tblGrid>
      <w:tr>
        <w:trPr>
          <w:tblHeader/>
        </w:trPr>
        <w:tc>
          <w:tcPr>
            <w:tcW w:type="dxa" w:w="2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Field</w:t>
            </w:r>
          </w:p>
        </w:tc>
        <w:tc>
          <w:tcPr>
            <w:tcW w:type="dxa" w:w="12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Type</w:t>
            </w:r>
          </w:p>
        </w:tc>
        <w:tc>
          <w:tcPr>
            <w:tcW w:type="dxa" w:w="68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Description</w:t>
            </w:r>
          </w:p>
        </w:tc>
      </w:tr>
      <w:tr>
        <w:tc>
          <w:tcPr>
            <w:tcW w:type="dxa" w:w="2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rule_id</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string</w:t>
            </w:r>
          </w:p>
        </w:tc>
        <w:tc>
          <w:tcPr>
            <w:tcW w:type="dxa" w:w="68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Stable identifier, e.g. GLB-CDD-003 / SG-CDD-014</w:t>
            </w:r>
          </w:p>
        </w:tc>
      </w:tr>
      <w:tr>
        <w:tc>
          <w:tcPr>
            <w:tcW w:type="dxa" w:w="2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scope</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enum</w:t>
            </w:r>
          </w:p>
        </w:tc>
        <w:tc>
          <w:tcPr>
            <w:tcW w:type="dxa" w:w="68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global | country:&lt;ISO code&gt;</w:t>
            </w:r>
          </w:p>
        </w:tc>
      </w:tr>
      <w:tr>
        <w:tc>
          <w:tcPr>
            <w:tcW w:type="dxa" w:w="2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domain</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enum</w:t>
            </w:r>
          </w:p>
        </w:tc>
        <w:tc>
          <w:tcPr>
            <w:tcW w:type="dxa" w:w="68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tax | aml_cdd | risk | screening | ubo | doc_evidence</w:t>
            </w:r>
          </w:p>
        </w:tc>
      </w:tr>
      <w:tr>
        <w:tc>
          <w:tcPr>
            <w:tcW w:type="dxa" w:w="2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obligation</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string</w:t>
            </w:r>
          </w:p>
        </w:tc>
        <w:tc>
          <w:tcPr>
            <w:tcW w:type="dxa" w:w="68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The single obligation, in controlled language</w:t>
            </w:r>
          </w:p>
        </w:tc>
      </w:tr>
      <w:tr>
        <w:tc>
          <w:tcPr>
            <w:tcW w:type="dxa" w:w="2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trigger_condition</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string</w:t>
            </w:r>
          </w:p>
        </w:tc>
        <w:tc>
          <w:tcPr>
            <w:tcW w:type="dxa" w:w="68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When the obligation applies (e.g. entity type, transaction threshold)</w:t>
            </w:r>
          </w:p>
        </w:tc>
      </w:tr>
      <w:tr>
        <w:tc>
          <w:tcPr>
            <w:tcW w:type="dxa" w:w="2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required_data_fields</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list</w:t>
            </w:r>
          </w:p>
        </w:tc>
        <w:tc>
          <w:tcPr>
            <w:tcW w:type="dxa" w:w="68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Data points that must be captured from the client</w:t>
            </w:r>
          </w:p>
        </w:tc>
      </w:tr>
      <w:tr>
        <w:tc>
          <w:tcPr>
            <w:tcW w:type="dxa" w:w="2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required_evidence</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list</w:t>
            </w:r>
          </w:p>
        </w:tc>
        <w:tc>
          <w:tcPr>
            <w:tcW w:type="dxa" w:w="68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Document evidence types that satisfy the obligation</w:t>
            </w:r>
          </w:p>
        </w:tc>
      </w:tr>
      <w:tr>
        <w:tc>
          <w:tcPr>
            <w:tcW w:type="dxa" w:w="2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parameters</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object</w:t>
            </w:r>
          </w:p>
        </w:tc>
        <w:tc>
          <w:tcPr>
            <w:tcW w:type="dxa" w:w="68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Quantified values, e.g. { "ubo_threshold_pct": 25 }</w:t>
            </w:r>
          </w:p>
        </w:tc>
      </w:tr>
      <w:tr>
        <w:tc>
          <w:tcPr>
            <w:tcW w:type="dxa" w:w="2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override_of</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string|null</w:t>
            </w:r>
          </w:p>
        </w:tc>
        <w:tc>
          <w:tcPr>
            <w:tcW w:type="dxa" w:w="68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rule_id of the global rule this country rule tightens, if any</w:t>
            </w:r>
          </w:p>
        </w:tc>
      </w:tr>
      <w:tr>
        <w:tc>
          <w:tcPr>
            <w:tcW w:type="dxa" w:w="2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source</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object</w:t>
            </w:r>
          </w:p>
        </w:tc>
        <w:tc>
          <w:tcPr>
            <w:tcW w:type="dxa" w:w="68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 document, version, section_ref, citation_span }</w:t>
            </w:r>
          </w:p>
        </w:tc>
      </w:tr>
      <w:tr>
        <w:tc>
          <w:tcPr>
            <w:tcW w:type="dxa" w:w="2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status</w:t>
            </w:r>
          </w:p>
        </w:tc>
        <w:tc>
          <w:tcPr>
            <w:tcW w:type="dxa" w:w="12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enum</w:t>
            </w:r>
          </w:p>
        </w:tc>
        <w:tc>
          <w:tcPr>
            <w:tcW w:type="dxa" w:w="68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draft | approved | retired</w:t>
            </w:r>
          </w:p>
        </w:tc>
      </w:tr>
      <w:tr>
        <w:tc>
          <w:tcPr>
            <w:tcW w:type="dxa" w:w="2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version</w:t>
            </w:r>
          </w:p>
        </w:tc>
        <w:tc>
          <w:tcPr>
            <w:tcW w:type="dxa" w:w="12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string</w:t>
            </w:r>
          </w:p>
        </w:tc>
        <w:tc>
          <w:tcPr>
            <w:tcW w:type="dxa" w:w="68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Rule Store version this record belongs to</w:t>
            </w:r>
          </w:p>
        </w:tc>
      </w:tr>
    </w:tbl>
    <w:p>
      <w:pPr>
        <w:spacing w:after="140"/>
      </w:pPr>
      <w:r>
        <w:rPr>
          <w:rFonts w:ascii="Calibri" w:cs="Calibri" w:eastAsia="Calibri" w:hAnsi="Calibri"/>
          <w:sz w:val="22"/>
          <w:szCs w:val="22"/>
        </w:rPr>
        <w:t xml:space="preserve">The demo's seed rule store (see accompanying code) contains rules such as: a global obligation to identify and verify beneficial owners without a fixed percentage (from FATF R.10), and a Singapore country rule that quantifies this at 25% ownership or control and overrides the global rule accordingly (from MAS Notice 626), plus a Singapore-only rule requiring a proliferation-financing risk assessment introduced by the 2025 amendment, which has no global counterpart at all.</w:t>
      </w:r>
    </w:p>
    <w:p>
      <w:pPr>
        <w:pStyle w:val="Heading1"/>
        <w:spacing w:after="120" w:before="240"/>
      </w:pPr>
      <w:r>
        <w:t xml:space="preserve">7. Global → Country Delta Merge Logic</w:t>
      </w:r>
    </w:p>
    <w:p>
      <w:pPr>
        <w:spacing w:after="140"/>
      </w:pPr>
      <w:r>
        <w:rPr>
          <w:rFonts w:ascii="Calibri" w:cs="Calibri" w:eastAsia="Calibri" w:hAnsi="Calibri"/>
          <w:sz w:val="22"/>
          <w:szCs w:val="22"/>
        </w:rPr>
        <w:t xml:space="preserve">For a given onboarding case tagged with a country, the Effective-Rule Resolver computes the applicable rule set deterministically:</w:t>
      </w:r>
    </w:p>
    <w:p>
      <w:pPr>
        <w:pStyle w:val="ListParagraph"/>
        <w:numPr>
          <w:ilvl w:val="0"/>
          <w:numId w:val="2"/>
        </w:numPr>
        <w:spacing w:after="80"/>
      </w:pPr>
      <w:r>
        <w:rPr>
          <w:rFonts w:ascii="Calibri" w:cs="Calibri" w:eastAsia="Calibri" w:hAnsi="Calibri"/>
          <w:sz w:val="22"/>
          <w:szCs w:val="22"/>
        </w:rPr>
        <w:t xml:space="preserve">Start with all approved global rules for the relevant domains.</w:t>
      </w:r>
    </w:p>
    <w:p>
      <w:pPr>
        <w:pStyle w:val="ListParagraph"/>
        <w:numPr>
          <w:ilvl w:val="0"/>
          <w:numId w:val="2"/>
        </w:numPr>
        <w:spacing w:after="80"/>
      </w:pPr>
      <w:r>
        <w:rPr>
          <w:rFonts w:ascii="Calibri" w:cs="Calibri" w:eastAsia="Calibri" w:hAnsi="Calibri"/>
          <w:sz w:val="22"/>
          <w:szCs w:val="22"/>
        </w:rPr>
        <w:t xml:space="preserve">Overlay all approved country rules for the case's country.</w:t>
      </w:r>
    </w:p>
    <w:p>
      <w:pPr>
        <w:pStyle w:val="ListParagraph"/>
        <w:numPr>
          <w:ilvl w:val="0"/>
          <w:numId w:val="2"/>
        </w:numPr>
        <w:spacing w:after="80"/>
      </w:pPr>
      <w:r>
        <w:rPr>
          <w:rFonts w:ascii="Calibri" w:cs="Calibri" w:eastAsia="Calibri" w:hAnsi="Calibri"/>
          <w:sz w:val="22"/>
          <w:szCs w:val="22"/>
        </w:rPr>
        <w:t xml:space="preserve">Where a country rule declares override_of a global rule, the country rule replaces it in the effective set (the global rule is retained in the store for audit, but excluded from the effective set for that country).</w:t>
      </w:r>
    </w:p>
    <w:p>
      <w:pPr>
        <w:pStyle w:val="ListParagraph"/>
        <w:numPr>
          <w:ilvl w:val="0"/>
          <w:numId w:val="2"/>
        </w:numPr>
        <w:spacing w:after="80"/>
      </w:pPr>
      <w:r>
        <w:rPr>
          <w:rFonts w:ascii="Calibri" w:cs="Calibri" w:eastAsia="Calibri" w:hAnsi="Calibri"/>
          <w:sz w:val="22"/>
          <w:szCs w:val="22"/>
        </w:rPr>
        <w:t xml:space="preserve">Where a country rule has no override_of, it is additive — included alongside the full global set.</w:t>
      </w:r>
    </w:p>
    <w:p>
      <w:pPr>
        <w:pStyle w:val="ListParagraph"/>
        <w:numPr>
          <w:ilvl w:val="0"/>
          <w:numId w:val="2"/>
        </w:numPr>
        <w:spacing w:after="80"/>
      </w:pPr>
      <w:r>
        <w:rPr>
          <w:rFonts w:ascii="Calibri" w:cs="Calibri" w:eastAsia="Calibri" w:hAnsi="Calibri"/>
          <w:sz w:val="22"/>
          <w:szCs w:val="22"/>
        </w:rPr>
        <w:t xml:space="preserve">A validation check rejects any country rule, at digitisation time, that would loosen a quantified global parameter (e.g. a lower UBO threshold, a longer permitted delay before verification); such candidates are routed to the human sign-off gate as a flagged conflict rather than silently accepted.</w:t>
      </w:r>
    </w:p>
    <w:p>
      <w:pPr>
        <w:spacing w:after="140"/>
      </w:pPr>
      <w:r>
        <w:rPr>
          <w:rFonts w:ascii="Calibri" w:cs="Calibri" w:eastAsia="Calibri" w:hAnsi="Calibri"/>
          <w:sz w:val="22"/>
          <w:szCs w:val="22"/>
        </w:rPr>
        <w:t xml:space="preserve">This produces one effective rule list per country, which is exactly what each runtime agent queries — the agent itself never needs to know that “global” and “country” rules exist as separate concepts.</w:t>
      </w:r>
    </w:p>
    <w:p>
      <w:pPr>
        <w:pStyle w:val="Heading1"/>
        <w:spacing w:after="120" w:before="240"/>
      </w:pPr>
      <w:r>
        <w:t xml:space="preserve">8. Onboarding Execution Plane — LangGraph Design</w:t>
      </w:r>
    </w:p>
    <w:p>
      <w:pPr>
        <w:pStyle w:val="Heading2"/>
        <w:spacing w:after="120" w:before="240"/>
      </w:pPr>
      <w:r>
        <w:t xml:space="preserve">8.1 Graph shape</w:t>
      </w:r>
    </w:p>
    <w:p>
      <w:pPr>
        <w:spacing w:after="140"/>
      </w:pPr>
      <w:r>
        <w:rPr>
          <w:rFonts w:ascii="Calibri" w:cs="Calibri" w:eastAsia="Calibri" w:hAnsi="Calibri"/>
          <w:sz w:val="22"/>
          <w:szCs w:val="22"/>
        </w:rPr>
        <w:t xml:space="preserve">A supervisor node receives the case (client type, country, declared structure) and fans out to domain agents as parallel branches; each domain agent is a small subgraph of: fetch effective rules → evaluate case data against rules → identify gaps → emit findings with rule citations. A join node aggregates findings; a citation-guard node validates every cited rule_id against the Rule Store before anything is returned; a human-interrupt node fires only when evidence is missing or a rule requires an EDD/manual-approval trigger.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300"/>
        <w:gridCol w:w="2500"/>
      </w:tblGrid>
      <w:tr>
        <w:trPr>
          <w:tblHeader/>
        </w:trPr>
        <w:tc>
          <w:tcPr>
            <w:tcW w:type="dxa" w:w="2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Agent (LangGraph node)</w:t>
            </w:r>
          </w:p>
        </w:tc>
        <w:tc>
          <w:tcPr>
            <w:tcW w:type="dxa" w:w="26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Single skill</w:t>
            </w:r>
          </w:p>
        </w:tc>
        <w:tc>
          <w:tcPr>
            <w:tcW w:type="dxa" w:w="23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Reads</w:t>
            </w:r>
          </w:p>
        </w:tc>
        <w:tc>
          <w:tcPr>
            <w:tcW w:type="dxa" w:w="2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Emits</w:t>
            </w:r>
          </w:p>
        </w:tc>
      </w:tr>
      <w:tr>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Regulatory / AML-CDD Agent</w:t>
            </w:r>
          </w:p>
        </w:tc>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Evaluate CDD/EDD obligations for the case</w:t>
            </w:r>
          </w:p>
        </w:tc>
        <w:tc>
          <w:tcPr>
            <w:tcW w:type="dxa" w:w="23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Effective rules (domain=aml_cdd), case data</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Applicable obligations, missing data/evidence, EDD triggers</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UBO Agent</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Resolve beneficial-ownership chain against threshold</w:t>
            </w:r>
          </w:p>
        </w:tc>
        <w:tc>
          <w:tcPr>
            <w:tcW w:type="dxa" w:w="2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Effective rules (domain=ubo), ownership graph submitted by client</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UBO list, any owner ≥ threshold flagged, gaps in chain</w:t>
            </w:r>
          </w:p>
        </w:tc>
      </w:tr>
      <w:tr>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Risk Calculation Agent</w:t>
            </w:r>
          </w:p>
        </w:tc>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Score case risk from rule-defined factors</w:t>
            </w:r>
          </w:p>
        </w:tc>
        <w:tc>
          <w:tcPr>
            <w:tcW w:type="dxa" w:w="23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Effective rules (domain=risk), case attributes</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Risk tier, contributing factors with citations</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Screening Agent</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Check sanctions/PEP list membership</w:t>
            </w:r>
          </w:p>
        </w:tc>
        <w:tc>
          <w:tcPr>
            <w:tcW w:type="dxa" w:w="2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Screening rule parameters, external list lookup tool</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Hits/no-hit, confidence, escalation flag</w:t>
            </w:r>
          </w:p>
        </w:tc>
      </w:tr>
      <w:tr>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Tax Validation Agent</w:t>
            </w:r>
          </w:p>
        </w:tc>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Validate tax-status data/forms required</w:t>
            </w:r>
          </w:p>
        </w:tc>
        <w:tc>
          <w:tcPr>
            <w:tcW w:type="dxa" w:w="23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Effective rules (domain=tax), case data</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Missing tax forms/identifiers</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Document Evidence Agent</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Reconcile required evidence vs submitted documents</w:t>
            </w:r>
          </w:p>
        </w:tc>
        <w:tc>
          <w:tcPr>
            <w:tcW w:type="dxa" w:w="2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required_evidence across all triggered rules, document index</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Checklist of satisfied / outstanding evidence</w:t>
            </w:r>
          </w:p>
        </w:tc>
      </w:tr>
      <w:tr>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Citation Guard</w:t>
            </w:r>
          </w:p>
        </w:tc>
        <w:tc>
          <w:tcPr>
            <w:tcW w:type="dxa" w:w="26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Verify every rule_id referenced by any agent exists and is approved</w:t>
            </w:r>
          </w:p>
        </w:tc>
        <w:tc>
          <w:tcPr>
            <w:tcW w:type="dxa" w:w="23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Rule Store</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Pass/fail; blocks release on failure</w:t>
            </w:r>
          </w:p>
        </w:tc>
      </w:tr>
      <w:tr>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Supervisor / Orchestrator</w:t>
            </w:r>
          </w:p>
        </w:tc>
        <w:tc>
          <w:tcPr>
            <w:tcW w:type="dxa" w:w="26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Route, aggregate, decide on human interrupt</w:t>
            </w:r>
          </w:p>
        </w:tc>
        <w:tc>
          <w:tcPr>
            <w:tcW w:type="dxa" w:w="23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All node outputs</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Consolidated onboarding decision + audit trail</w:t>
            </w:r>
          </w:p>
        </w:tc>
      </w:tr>
    </w:tbl>
    <w:p>
      <w:pPr>
        <w:pStyle w:val="Heading2"/>
        <w:spacing w:after="120" w:before="240"/>
      </w:pPr>
      <w:r>
        <w:t xml:space="preserve">8.2 State and persistence</w:t>
      </w:r>
    </w:p>
    <w:p>
      <w:pPr>
        <w:spacing w:after="140"/>
      </w:pPr>
      <w:r>
        <w:rPr>
          <w:rFonts w:ascii="Calibri" w:cs="Calibri" w:eastAsia="Calibri" w:hAnsi="Calibri"/>
          <w:sz w:val="22"/>
          <w:szCs w:val="22"/>
        </w:rPr>
        <w:t xml:space="preserve">Graph state is a typed object (case data, per-domain findings, missing items, decision log) checkpointed after every node using LangGraph's checkpointer, so a case can be paused at a human-interrupt point and resumed later without replaying agents that already ran — important for onboarding cases that can be open for days awaiting client documents.</w:t>
      </w:r>
    </w:p>
    <w:p>
      <w:pPr>
        <w:pStyle w:val="Heading1"/>
        <w:spacing w:after="120" w:before="240"/>
      </w:pPr>
      <w:r>
        <w:t xml:space="preserve">9. Hallucination Mitigation — Control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500"/>
      </w:tblGrid>
      <w:tr>
        <w:trPr>
          <w:tblHeader/>
        </w:trPr>
        <w:tc>
          <w:tcPr>
            <w:tcW w:type="dxa" w:w="30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Control</w:t>
            </w:r>
          </w:p>
        </w:tc>
        <w:tc>
          <w:tcPr>
            <w:tcW w:type="dxa" w:w="2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Where applied</w:t>
            </w:r>
          </w:p>
        </w:tc>
        <w:tc>
          <w:tcPr>
            <w:tcW w:type="dxa" w:w="4500"/>
            <w:shd w:fill="1F3864" w:val="clear"/>
            <w:tcMar>
              <w:top w:type="dxa" w:w="60"/>
              <w:left w:type="dxa" w:w="100"/>
              <w:bottom w:type="dxa" w:w="60"/>
              <w:right w:type="dxa" w:w="100"/>
            </w:tcMar>
            <w:vAlign w:val="center"/>
          </w:tcPr>
          <w:p>
            <w:pPr>
              <w:jc w:val="left"/>
            </w:pPr>
            <w:r>
              <w:rPr>
                <w:rFonts w:ascii="Calibri" w:cs="Calibri" w:eastAsia="Calibri" w:hAnsi="Calibri"/>
                <w:b/>
                <w:bCs/>
                <w:color w:val="FFFFFF"/>
                <w:sz w:val="20"/>
                <w:szCs w:val="20"/>
              </w:rPr>
              <w:t xml:space="preserve">What it prevents</w:t>
            </w:r>
          </w:p>
        </w:tc>
      </w:tr>
      <w:tr>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Structured, schema-validated LLM output only</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Extraction step; any agent narrative</w:t>
            </w:r>
          </w:p>
        </w:tc>
        <w:tc>
          <w:tcPr>
            <w:tcW w:type="dxa" w:w="4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Free-text drift, invented fields</w:t>
            </w:r>
          </w:p>
        </w:tc>
      </w:tr>
      <w:tr>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Deterministic rule lookup, not LLM recall, at runtime</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All domain agents</w:t>
            </w:r>
          </w:p>
        </w:tc>
        <w:tc>
          <w:tcPr>
            <w:tcW w:type="dxa" w:w="4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Agents “remembering” policy incorrectly</w:t>
            </w:r>
          </w:p>
        </w:tc>
      </w:tr>
      <w:tr>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Citation-existence guard before release</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End of every case run</w:t>
            </w:r>
          </w:p>
        </w:tc>
        <w:tc>
          <w:tcPr>
            <w:tcW w:type="dxa" w:w="4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Findings referencing rules that don't exist or aren't approved</w:t>
            </w:r>
          </w:p>
        </w:tc>
      </w:tr>
      <w:tr>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Source-substring verification at digitisation</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Extraction step</w:t>
            </w:r>
          </w:p>
        </w:tc>
        <w:tc>
          <w:tcPr>
            <w:tcW w:type="dxa" w:w="4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Rules invented from prompt bias rather than the actual text</w:t>
            </w:r>
          </w:p>
        </w:tc>
      </w:tr>
      <w:tr>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Human sign-off required to reach ‘approved’ status</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Policy digitisation</w:t>
            </w:r>
          </w:p>
        </w:tc>
        <w:tc>
          <w:tcPr>
            <w:tcW w:type="dxa" w:w="4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Any unreviewed rule ever reaching a live case</w:t>
            </w:r>
          </w:p>
        </w:tc>
      </w:tr>
      <w:tr>
        <w:tc>
          <w:tcPr>
            <w:tcW w:type="dxa" w:w="30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Fail-closed routing on missing data / low confidence</w:t>
            </w:r>
          </w:p>
        </w:tc>
        <w:tc>
          <w:tcPr>
            <w:tcW w:type="dxa" w:w="2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Runtime execution</w:t>
            </w:r>
          </w:p>
        </w:tc>
        <w:tc>
          <w:tcPr>
            <w:tcW w:type="dxa" w:w="4500"/>
            <w:shd w:fill="F2F2F2"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Agents guessing to fill a gap</w:t>
            </w:r>
          </w:p>
        </w:tc>
      </w:tr>
      <w:tr>
        <w:tc>
          <w:tcPr>
            <w:tcW w:type="dxa" w:w="30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Immutable versioning of rule sets</w:t>
            </w:r>
          </w:p>
        </w:tc>
        <w:tc>
          <w:tcPr>
            <w:tcW w:type="dxa" w:w="2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Rule Store</w:t>
            </w:r>
          </w:p>
        </w:tc>
        <w:tc>
          <w:tcPr>
            <w:tcW w:type="dxa" w:w="4500"/>
            <w:shd w:fill="FFFFFF" w:val="clear"/>
            <w:tcMar>
              <w:top w:type="dxa" w:w="60"/>
              <w:left w:type="dxa" w:w="100"/>
              <w:bottom w:type="dxa" w:w="60"/>
              <w:right w:type="dxa" w:w="100"/>
            </w:tcMar>
            <w:vAlign w:val="center"/>
          </w:tcPr>
          <w:p>
            <w:pPr>
              <w:jc w:val="left"/>
            </w:pPr>
            <w:r>
              <w:rPr>
                <w:rFonts w:ascii="Calibri" w:cs="Calibri" w:eastAsia="Calibri" w:hAnsi="Calibri"/>
                <w:b w:val="false"/>
                <w:bCs w:val="false"/>
                <w:color w:val="000000"/>
                <w:sz w:val="20"/>
                <w:szCs w:val="20"/>
              </w:rPr>
              <w:t xml:space="preserve">Silent, untraceable policy drift over time</w:t>
            </w:r>
          </w:p>
        </w:tc>
      </w:tr>
    </w:tbl>
    <w:p>
      <w:pPr>
        <w:pStyle w:val="Heading1"/>
        <w:spacing w:after="120" w:before="240"/>
      </w:pPr>
      <w:r>
        <w:t xml:space="preserve">10. Non-Functional Considerations</w:t>
      </w:r>
    </w:p>
    <w:p>
      <w:pPr>
        <w:pStyle w:val="ListParagraph"/>
        <w:numPr>
          <w:ilvl w:val="0"/>
          <w:numId w:val="2"/>
        </w:numPr>
        <w:spacing w:after="80"/>
      </w:pPr>
      <w:r>
        <w:rPr>
          <w:rFonts w:ascii="Calibri" w:cs="Calibri" w:eastAsia="Calibri" w:hAnsi="Calibri"/>
          <w:sz w:val="22"/>
          <w:szCs w:val="22"/>
        </w:rPr>
        <w:t xml:space="preserve">Auditability: every case decision log lists the rule_ids consulted, their version, and the source citation — sufficient for a regulator or internal audit walkthrough without re-running the case.</w:t>
      </w:r>
    </w:p>
    <w:p>
      <w:pPr>
        <w:pStyle w:val="ListParagraph"/>
        <w:numPr>
          <w:ilvl w:val="0"/>
          <w:numId w:val="2"/>
        </w:numPr>
        <w:spacing w:after="80"/>
      </w:pPr>
      <w:r>
        <w:rPr>
          <w:rFonts w:ascii="Calibri" w:cs="Calibri" w:eastAsia="Calibri" w:hAnsi="Calibri"/>
          <w:sz w:val="22"/>
          <w:szCs w:val="22"/>
        </w:rPr>
        <w:t xml:space="preserve">Explainability: agent findings are always “rule X requires Y because Z (source)”, never an unexplained score.</w:t>
      </w:r>
    </w:p>
    <w:p>
      <w:pPr>
        <w:pStyle w:val="ListParagraph"/>
        <w:numPr>
          <w:ilvl w:val="0"/>
          <w:numId w:val="2"/>
        </w:numPr>
        <w:spacing w:after="80"/>
      </w:pPr>
      <w:r>
        <w:rPr>
          <w:rFonts w:ascii="Calibri" w:cs="Calibri" w:eastAsia="Calibri" w:hAnsi="Calibri"/>
          <w:sz w:val="22"/>
          <w:szCs w:val="22"/>
        </w:rPr>
        <w:t xml:space="preserve">Change management: a new policy version never affects cases already mid-flight under a prior version unless explicitly re-based by a human.</w:t>
      </w:r>
    </w:p>
    <w:p>
      <w:pPr>
        <w:pStyle w:val="ListParagraph"/>
        <w:numPr>
          <w:ilvl w:val="0"/>
          <w:numId w:val="2"/>
        </w:numPr>
        <w:spacing w:after="80"/>
      </w:pPr>
      <w:r>
        <w:rPr>
          <w:rFonts w:ascii="Calibri" w:cs="Calibri" w:eastAsia="Calibri" w:hAnsi="Calibri"/>
          <w:sz w:val="22"/>
          <w:szCs w:val="22"/>
        </w:rPr>
        <w:t xml:space="preserve">Extensibility: adding a new country is authoring a new delta pack against the same schema; adding a new domain (e.g. sanctions-list specifics) is a new rule domain enum value, not a new pipeline.</w:t>
      </w:r>
    </w:p>
    <w:p>
      <w:pPr>
        <w:pStyle w:val="ListParagraph"/>
        <w:numPr>
          <w:ilvl w:val="0"/>
          <w:numId w:val="2"/>
        </w:numPr>
        <w:spacing w:after="80"/>
      </w:pPr>
      <w:r>
        <w:rPr>
          <w:rFonts w:ascii="Calibri" w:cs="Calibri" w:eastAsia="Calibri" w:hAnsi="Calibri"/>
          <w:sz w:val="22"/>
          <w:szCs w:val="22"/>
        </w:rPr>
        <w:t xml:space="preserve">Security/data handling: policy documents are typically public or internal-confidential; client case data is confidential and should sit in the bank's existing data perimeter, with the Rule Store and Case Store kept as separate stores so policy logic can be reviewed without exposing client data.</w:t>
      </w:r>
    </w:p>
    <w:p>
      <w:pPr>
        <w:pStyle w:val="Heading1"/>
        <w:spacing w:after="120" w:before="240"/>
      </w:pPr>
      <w:r>
        <w:t xml:space="preserve">11. Demo Scope</w:t>
      </w:r>
    </w:p>
    <w:p>
      <w:pPr>
        <w:spacing w:after="140"/>
      </w:pPr>
      <w:r>
        <w:rPr>
          <w:rFonts w:ascii="Calibri" w:cs="Calibri" w:eastAsia="Calibri" w:hAnsi="Calibri"/>
          <w:sz w:val="22"/>
          <w:szCs w:val="22"/>
        </w:rPr>
        <w:t xml:space="preserve">The accompanying code package implements the pipeline above end-to-end against two real public documents:</w:t>
      </w:r>
    </w:p>
    <w:p>
      <w:pPr>
        <w:pStyle w:val="ListParagraph"/>
        <w:numPr>
          <w:ilvl w:val="0"/>
          <w:numId w:val="2"/>
        </w:numPr>
        <w:spacing w:after="80"/>
      </w:pPr>
      <w:r>
        <w:rPr>
          <w:rFonts w:ascii="Calibri" w:cs="Calibri" w:eastAsia="Calibri" w:hAnsi="Calibri"/>
          <w:sz w:val="22"/>
          <w:szCs w:val="22"/>
        </w:rPr>
        <w:t xml:space="preserve">Global policy proxy: FATF Recommendation 10 (Customer Due Diligence) and its Interpretive Note — identification and verification of customers and beneficial owners, purpose of relationship, ongoing monitoring, enhanced due diligence for higher risk.</w:t>
      </w:r>
    </w:p>
    <w:p>
      <w:pPr>
        <w:pStyle w:val="ListParagraph"/>
        <w:numPr>
          <w:ilvl w:val="0"/>
          <w:numId w:val="2"/>
        </w:numPr>
        <w:spacing w:after="80"/>
      </w:pPr>
      <w:r>
        <w:rPr>
          <w:rFonts w:ascii="Calibri" w:cs="Calibri" w:eastAsia="Calibri" w:hAnsi="Calibri"/>
          <w:sz w:val="22"/>
          <w:szCs w:val="22"/>
        </w:rPr>
        <w:t xml:space="preserve">Country delta proxy: Singapore MAS Notice 626 — a quantified 25% beneficial-ownership threshold, a wire-transfer CDD trigger, prescriptive identification data points, five-year record retention, and a 2025-amendment obligation to assess proliferation-financing risk that has no global counterpart.</w:t>
      </w:r>
    </w:p>
    <w:p>
      <w:pPr>
        <w:spacing w:after="140"/>
      </w:pPr>
      <w:r>
        <w:rPr>
          <w:rFonts w:ascii="Calibri" w:cs="Calibri" w:eastAsia="Calibri" w:hAnsi="Calibri"/>
          <w:sz w:val="22"/>
          <w:szCs w:val="22"/>
        </w:rPr>
        <w:t xml:space="preserve">The demo runs a Singapore-incorporated corporate client through the LangGraph flow and produces a consolidated, citation-backed onboarding checklist. Where the pipeline would call an LLM (candidate rule extraction from prose), the sandbox substitutes a clearly labelled deterministic stand-in because no live model credential is available here; every other step — schema validation, merge logic, graph execution, citation guard — runs on real logic against the real seed rules.</w:t>
      </w:r>
    </w:p>
    <w:p>
      <w:pPr>
        <w:pStyle w:val="Heading1"/>
        <w:spacing w:after="120" w:before="240"/>
      </w:pPr>
      <w:r>
        <w:t xml:space="preserve">12. Open Items for Review</w:t>
      </w:r>
    </w:p>
    <w:p>
      <w:pPr>
        <w:pStyle w:val="ListParagraph"/>
        <w:numPr>
          <w:ilvl w:val="0"/>
          <w:numId w:val="2"/>
        </w:numPr>
        <w:spacing w:after="80"/>
      </w:pPr>
      <w:r>
        <w:rPr>
          <w:rFonts w:ascii="Calibri" w:cs="Calibri" w:eastAsia="Calibri" w:hAnsi="Calibri"/>
          <w:sz w:val="22"/>
          <w:szCs w:val="22"/>
        </w:rPr>
        <w:t xml:space="preserve">Confirm the bank's actual global policy and country addenda to replace the FATF/MAS proxies.</w:t>
      </w:r>
    </w:p>
    <w:p>
      <w:pPr>
        <w:pStyle w:val="ListParagraph"/>
        <w:numPr>
          <w:ilvl w:val="0"/>
          <w:numId w:val="2"/>
        </w:numPr>
        <w:spacing w:after="80"/>
      </w:pPr>
      <w:r>
        <w:rPr>
          <w:rFonts w:ascii="Calibri" w:cs="Calibri" w:eastAsia="Calibri" w:hAnsi="Calibri"/>
          <w:sz w:val="22"/>
          <w:szCs w:val="22"/>
        </w:rPr>
        <w:t xml:space="preserve">Confirm risk-scoring methodology and thresholds (kept generic/placeholder in the demo).</w:t>
      </w:r>
    </w:p>
    <w:p>
      <w:pPr>
        <w:pStyle w:val="ListParagraph"/>
        <w:numPr>
          <w:ilvl w:val="0"/>
          <w:numId w:val="2"/>
        </w:numPr>
        <w:spacing w:after="80"/>
      </w:pPr>
      <w:r>
        <w:rPr>
          <w:rFonts w:ascii="Calibri" w:cs="Calibri" w:eastAsia="Calibri" w:hAnsi="Calibri"/>
          <w:sz w:val="22"/>
          <w:szCs w:val="22"/>
        </w:rPr>
        <w:t xml:space="preserve">Confirm which external systems provide screening (sanctions/PEP) and tax data in production, to design the tool integrations for those agents.</w:t>
      </w:r>
    </w:p>
    <w:p>
      <w:pPr>
        <w:pStyle w:val="ListParagraph"/>
        <w:numPr>
          <w:ilvl w:val="0"/>
          <w:numId w:val="2"/>
        </w:numPr>
        <w:spacing w:after="80"/>
      </w:pPr>
      <w:r>
        <w:rPr>
          <w:rFonts w:ascii="Calibri" w:cs="Calibri" w:eastAsia="Calibri" w:hAnsi="Calibri"/>
          <w:sz w:val="22"/>
          <w:szCs w:val="22"/>
        </w:rPr>
        <w:t xml:space="preserve">Confirm target LLM/runtime and hosting (Claude via API vs. on-prem model) for the extraction step, since that step is the only place a live model call is required in production.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2026-07-30T07:30:40.436Z</dcterms:created>
  <dcterms:modified xsi:type="dcterms:W3CDTF">2026-07-30T07:30:40.447Z</dcterms:modified>
</cp:coreProperties>
</file>

<file path=docProps/custom.xml><?xml version="1.0" encoding="utf-8"?>
<Properties xmlns="http://schemas.openxmlformats.org/officeDocument/2006/custom-properties" xmlns:vt="http://schemas.openxmlformats.org/officeDocument/2006/docPropsVTypes"/>
</file>