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8"/>
        </w:rPr>
        <w:t>Onboard.AI</w:t>
      </w:r>
    </w:p>
    <w:p>
      <w:pPr>
        <w:spacing w:before="0" w:after="240"/>
      </w:pPr>
      <w:r>
        <w:rPr>
          <w:rFonts w:ascii="Calibri" w:hAnsi="Calibri"/>
          <w:i/>
          <w:color w:val="646464"/>
          <w:sz w:val="28"/>
        </w:rPr>
        <w:t>A Futuristic Agentic AI Architecture for Corporate Client Onboarding</w:t>
      </w:r>
    </w:p>
    <w:p>
      <w:pPr>
        <w:spacing w:before="80" w:after="320"/>
      </w:pPr>
      <w:r>
        <w:rPr>
          <w:rFonts w:ascii="Calibri" w:hAnsi="Calibri"/>
          <w:b/>
          <w:sz w:val="21"/>
        </w:rPr>
        <w:t xml:space="preserve">Design premise: </w:t>
      </w:r>
      <w:r>
        <w:rPr>
          <w:rFonts w:ascii="Calibri" w:hAnsi="Calibri"/>
          <w:sz w:val="21"/>
        </w:rPr>
        <w:t>Replace traditional fixed BPM orchestration with a governed agentic mesh. Use narrowly scoped specialist agents, deterministic controls and authoritative tools; bring humans into the loop only for ambiguity, judgement, mandated approvals and material exceptions.</w:t>
      </w:r>
    </w:p>
    <w:p>
      <w:pPr>
        <w:spacing w:before="240" w:after="160"/>
      </w:pPr>
      <w:r>
        <w:rPr>
          <w:rFonts w:ascii="Calibri" w:hAnsi="Calibri"/>
          <w:b/>
          <w:color w:val="003366"/>
          <w:sz w:val="36"/>
        </w:rPr>
        <w:t>Agent Catalogue</w:t>
      </w:r>
    </w:p>
    <w:p>
      <w:pPr>
        <w:keepNext/>
        <w:spacing w:before="280" w:after="80"/>
      </w:pPr>
      <w:r>
        <w:rPr>
          <w:rFonts w:ascii="Calibri" w:hAnsi="Calibri"/>
          <w:b/>
          <w:color w:val="003366"/>
          <w:sz w:val="26"/>
        </w:rPr>
        <w:t>Orchestration</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Onboarding Orchestrator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Creates and manages the onboarding mission; decomposes goals; invokes specialist agents; tracks dependencies and state; does not make specialist compliance decisions.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Journey Planning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Builds an execution plan from entity, countries, booking locations, products and requested services.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Task Dependency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parallel tasks and prerequisites.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Case State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Maintains authoritative onboarding state and completion status.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Exception Routing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Routes unresolved exceptions to the appropriate specialist agent or human queue.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SLA Management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Tracks milestones, ageing and SLA risk; recommends escalation.</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Human Intervention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Creates structured HITL tasks with evidence, issue, recommendation and required decision.</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Resume &amp; Recovery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Resumes interrupted agentic workflows from persisted checkpoints.</w:t>
            </w:r>
          </w:p>
        </w:tc>
      </w:tr>
    </w:tbl>
    <w:p>
      <w:pPr>
        <w:keepNext/>
        <w:spacing w:before="280" w:after="80"/>
      </w:pPr>
      <w:r>
        <w:rPr>
          <w:rFonts w:ascii="Calibri" w:hAnsi="Calibri"/>
          <w:b/>
          <w:color w:val="003366"/>
          <w:sz w:val="26"/>
        </w:rPr>
        <w:t>Client Initiation</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Prospect Intake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Receives onboarding requests from CRM and validates mandatory initiation information.</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Intent Interpretation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Converts business onboarding intent into structured requirements.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Existing Client Detection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whether the prospect already exists within the bank.</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Onboarding Scope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Establishes entities, products, markets, booking locations and services in scope.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Journey Classification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Classifies new-to-bank, existing-to-bank, new product, new market, periodic review or remediation.</w:t>
            </w:r>
          </w:p>
        </w:tc>
      </w:tr>
    </w:tbl>
    <w:p>
      <w:pPr>
        <w:keepNext/>
        <w:spacing w:before="280" w:after="80"/>
      </w:pPr>
      <w:r>
        <w:rPr>
          <w:rFonts w:ascii="Calibri" w:hAnsi="Calibri"/>
          <w:b/>
          <w:color w:val="003366"/>
          <w:sz w:val="26"/>
        </w:rPr>
        <w:t>Entity Resolution</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Entity Search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Searches internal client masters and approved external sources.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Entity Matching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Performs deterministic and probabilistic matching against candidate entities.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Entity Resolution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Maps external identifiers and source records to internal client identifiers.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Duplicate Detection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Identifies duplicate client and related-party records.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Entity Identity Confidence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Calculates match confidence and escalates ambiguous matches.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Identifier Validation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Validates LEI, registration numbers, tax identifiers and other identifiers.</w:t>
            </w:r>
          </w:p>
        </w:tc>
      </w:tr>
    </w:tbl>
    <w:p>
      <w:pPr>
        <w:keepNext/>
        <w:spacing w:before="280" w:after="80"/>
      </w:pPr>
      <w:r>
        <w:rPr>
          <w:rFonts w:ascii="Calibri" w:hAnsi="Calibri"/>
          <w:b/>
          <w:color w:val="003366"/>
          <w:sz w:val="26"/>
        </w:rPr>
        <w:t>External Data</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External Data Discovery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which approved providers can supply required information.</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Provider Selection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Selects sources based on attribute, jurisdiction, freshness and authority.</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Company Registry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Retrieves authoritative corporate registry information.</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Market Data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Retrieves permitted market and reference data.</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LEI Data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Retrieves and validates LEI information.</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External Data Normalisation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Maps provider-specific data into the canonical onboarding model.</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Source Reconciliation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Identifies conflicting attributes across sources.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Data Freshness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Determines whether previously sourced information remains usable.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Data Provenance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Records source, retrieval time, evidence and transformation lineage.</w:t>
            </w:r>
          </w:p>
        </w:tc>
      </w:tr>
    </w:tbl>
    <w:p>
      <w:pPr>
        <w:keepNext/>
        <w:spacing w:before="280" w:after="80"/>
      </w:pPr>
      <w:r>
        <w:rPr>
          <w:rFonts w:ascii="Calibri" w:hAnsi="Calibri"/>
          <w:b/>
          <w:color w:val="003366"/>
          <w:sz w:val="26"/>
        </w:rPr>
        <w:t>Client Data</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Legal Entity Profile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Builds the core legal-entity profile.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Address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Validates registered, operating and correspondence addresses.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Business Activity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and classifies nature of business.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Industry Classification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Maps activities to approved industry taxonomies.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Country Exposure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Identifies countries of incorporation, operation and business exposure.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Financial Information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Extracts and structures permitted financial information.</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Client Data Gap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Identifies missing mandatory attributes.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Data Conflict Resolution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Presents conflicting authoritative information for resolution.</w:t>
            </w:r>
          </w:p>
        </w:tc>
      </w:tr>
    </w:tbl>
    <w:p>
      <w:pPr>
        <w:keepNext/>
        <w:spacing w:before="280" w:after="80"/>
      </w:pPr>
      <w:r>
        <w:rPr>
          <w:rFonts w:ascii="Calibri" w:hAnsi="Calibri"/>
          <w:b/>
          <w:color w:val="003366"/>
          <w:sz w:val="26"/>
        </w:rPr>
        <w:t>Ownership &amp; Control</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Ownership Discovery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Finds shareholders and ownership relationships.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Ownership Graph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Constructs a multi-level legal ownership graph.</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Ownership Unwrapping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Recursively unwraps ownership until policy-defined stopping conditions.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UBO Identification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Identifies candidate beneficial owners using policy thresholds.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Control Person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Identifies persons exercising control independent of ownership.</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Related Party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Identifies directors, signatories, trustees, settlors and other related parties.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Complex Structure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Detects circular ownership, nominee structures, trusts and opaque structures.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Ownership Evidence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Verifies ownership assertions against documentary and external evidence.</w:t>
            </w:r>
          </w:p>
        </w:tc>
      </w:tr>
    </w:tbl>
    <w:p>
      <w:pPr>
        <w:keepNext/>
        <w:spacing w:before="280" w:after="80"/>
      </w:pPr>
      <w:r>
        <w:rPr>
          <w:rFonts w:ascii="Calibri" w:hAnsi="Calibri"/>
          <w:b/>
          <w:color w:val="003366"/>
          <w:sz w:val="26"/>
        </w:rPr>
        <w:t>Document Requirements</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Document Requirement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required documents using an approved policy/rules service.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Document Deduplication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Consolidates duplicate requirements across products and jurisdictions.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Document Substitution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whether authoritative external data can replace documents.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Document Request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Creates precise client document requests.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Document Intake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Classifies received documents.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Document Extraction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Extracts structured fields from documents.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Document Validation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Validates completeness, dates and expected attributes.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Document Authenticity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Performs available authenticity and tampering checks.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Document Expiry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Identifies expired or soon-to-expire documents.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Document-to-Data Reconciliation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Compares extracted information against stored client data.</w:t>
            </w:r>
          </w:p>
        </w:tc>
      </w:tr>
    </w:tbl>
    <w:p>
      <w:pPr>
        <w:keepNext/>
        <w:spacing w:before="280" w:after="80"/>
      </w:pPr>
      <w:r>
        <w:rPr>
          <w:rFonts w:ascii="Calibri" w:hAnsi="Calibri"/>
          <w:b/>
          <w:color w:val="003366"/>
          <w:sz w:val="26"/>
        </w:rPr>
        <w:t>Policy &amp; Rules</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Policy Retrieval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Retrieves only applicable approved policy sections.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Policy Applicability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Determines applicable policies from jurisdiction, entity and product.</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Rule Execution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Calls deterministic rule engines and interprets structured outputs.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Policy Exception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Detects where standard policy conditions cannot be satisfied.</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Policy Evidence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Links every policy-driven requirement or decision to source policy and rule.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Regulatory Change Impact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Maps approved policy changes to impacted onboarding requirements.</w:t>
            </w:r>
          </w:p>
        </w:tc>
      </w:tr>
    </w:tbl>
    <w:p>
      <w:pPr>
        <w:keepNext/>
        <w:spacing w:before="280" w:after="80"/>
      </w:pPr>
      <w:r>
        <w:rPr>
          <w:rFonts w:ascii="Calibri" w:hAnsi="Calibri"/>
          <w:b/>
          <w:color w:val="003366"/>
          <w:sz w:val="26"/>
        </w:rPr>
        <w:t>KYC</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KYC Scope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required KYC activities.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Customer Type Classification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Classifies the entity into policy-defined customer types.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KYC Data Sufficiency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whether sufficient verified information exists.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KYC Risk Factor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Identifies relevant risk factors without independently calculating final risk.</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KYC Risk Assessment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Calls the approved deterministic risk-rating service.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Enhanced Due Diligence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Determines EDD requirements from policy and risk outputs.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Source of Funds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Evaluates available source-of-funds evidence.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Source of Wealth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Evaluates required source-of-wealth information where applicable.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KYC Completion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Verifies mandatory KYC conditions before recommendation.</w:t>
            </w:r>
          </w:p>
        </w:tc>
      </w:tr>
    </w:tbl>
    <w:p>
      <w:pPr>
        <w:keepNext/>
        <w:spacing w:before="280" w:after="80"/>
      </w:pPr>
      <w:r>
        <w:rPr>
          <w:rFonts w:ascii="Calibri" w:hAnsi="Calibri"/>
          <w:b/>
          <w:color w:val="003366"/>
          <w:sz w:val="26"/>
        </w:rPr>
        <w:t>Screening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Screening Scope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which entities and related parties require screening.</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Name Preparation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Generates controlled name variants and aliases for screening.</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Sanctions Screening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Calls the approved sanctions screening platform.</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PEP Screening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Calls the approved PEP screening service.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Adverse Media Search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Performs controlled searches across approved information sources.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Screening Match Triage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Classifies potential matches using approved evidence.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Screening Evidence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Compiles evidence for potential screening matches.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False Positive Resolution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Applies approved deterministic disposition criteria.</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Screening Escalation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Routes unresolved potential matches to specialist investigators.</w:t>
            </w:r>
          </w:p>
        </w:tc>
      </w:tr>
    </w:tbl>
    <w:p>
      <w:pPr>
        <w:keepNext/>
        <w:spacing w:before="280" w:after="80"/>
      </w:pPr>
      <w:r>
        <w:rPr>
          <w:rFonts w:ascii="Calibri" w:hAnsi="Calibri"/>
          <w:b/>
          <w:color w:val="003366"/>
          <w:sz w:val="26"/>
        </w:rPr>
        <w:t>Financial Crime</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FCC Risk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Consolidates approved financial-crime risk indicators.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Jurisdiction Risk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Retrieves approved country and jurisdiction risk classifications.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Industry Risk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Retrieves approved sector risk classifications.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Business Model Risk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Assesses risk indicators associated with business activity.</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Complex Ownership Risk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Identifies financial-crime risk signals from ownership complexity.</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FCC Escalation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Prepares evidence packages for FCC specialist review.</w:t>
            </w:r>
          </w:p>
        </w:tc>
      </w:tr>
    </w:tbl>
    <w:p>
      <w:pPr>
        <w:keepNext/>
        <w:spacing w:before="280" w:after="80"/>
      </w:pPr>
      <w:r>
        <w:rPr>
          <w:rFonts w:ascii="Calibri" w:hAnsi="Calibri"/>
          <w:b/>
          <w:color w:val="003366"/>
          <w:sz w:val="26"/>
        </w:rPr>
        <w:t>Tax &amp; Regulatory</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Tax Classification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the required tax classification workflow.</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FATCA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Collects and validates FATCA classification evidence.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CRS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Collects and validates CRS classification evidence.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Regulatory Classification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Coordinates applicable regulatory classifications.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MiFID Classification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Supports MiFID client categorisation where applicable.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EMIR Classification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Supports EMIR classification where applicable.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Dodd-Frank Classification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Supports applicable Dodd-Frank classifications.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Regulatory Evidence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Maintains evidence supporting regulatory classifications.</w:t>
            </w:r>
          </w:p>
        </w:tc>
      </w:tr>
    </w:tbl>
    <w:p>
      <w:pPr>
        <w:keepNext/>
        <w:spacing w:before="280" w:after="80"/>
      </w:pPr>
      <w:r>
        <w:rPr>
          <w:rFonts w:ascii="Calibri" w:hAnsi="Calibri"/>
          <w:b/>
          <w:color w:val="003366"/>
          <w:sz w:val="26"/>
        </w:rPr>
        <w:t>Product &amp; Booking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Product Eligibility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Checks whether requested products are available to the entity.</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Booking Location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Determines required onboarding scope by booking location.</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Jurisdiction Eligibility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Checks cross-border and jurisdiction restrictions.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Product Requirement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Determines incremental requirements created by each product.</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Product Suitability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Invokes relevant suitability or appropriateness controls where required.</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Cross-Border Rules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Executes approved cross-border rule services.</w:t>
            </w:r>
          </w:p>
        </w:tc>
      </w:tr>
    </w:tbl>
    <w:p>
      <w:pPr>
        <w:keepNext/>
        <w:spacing w:before="280" w:after="80"/>
      </w:pPr>
      <w:r>
        <w:rPr>
          <w:rFonts w:ascii="Calibri" w:hAnsi="Calibri"/>
          <w:b/>
          <w:color w:val="003366"/>
          <w:sz w:val="26"/>
        </w:rPr>
        <w:t>Credit &amp; Commercial</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Credit Requirement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whether credit assessment is required.</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Credit Data Collection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Assembles required credit information.</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Credit Case Initiation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Initiates downstream credit workflows.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Commercial Approval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Determines required business approvals.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Pricing/Revenue Context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Retrieves approved commercial context for prioritisation, not compliance decisions.</w:t>
            </w:r>
          </w:p>
        </w:tc>
      </w:tr>
    </w:tbl>
    <w:p>
      <w:pPr>
        <w:keepNext/>
        <w:spacing w:before="280" w:after="80"/>
      </w:pPr>
      <w:r>
        <w:rPr>
          <w:rFonts w:ascii="Calibri" w:hAnsi="Calibri"/>
          <w:b/>
          <w:color w:val="003366"/>
          <w:sz w:val="26"/>
        </w:rPr>
        <w:t>Contracts &amp; Accounts</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Agreement Requirement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Identifies required legal agreements.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Agreement Status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Checks whether valid agreements already exist.</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Account Requirement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accounts and facilities requiring setup.</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Account Opening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Submits validated account-opening instructions.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Static Data Setup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Coordinates approved static-data creation.</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SSI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Validates standing settlement instruction requirements.</w:t>
            </w:r>
          </w:p>
        </w:tc>
      </w:tr>
    </w:tbl>
    <w:p>
      <w:pPr>
        <w:keepNext/>
        <w:spacing w:before="280" w:after="80"/>
      </w:pPr>
      <w:r>
        <w:rPr>
          <w:rFonts w:ascii="Calibri" w:hAnsi="Calibri"/>
          <w:b/>
          <w:color w:val="003366"/>
          <w:sz w:val="26"/>
        </w:rPr>
        <w:t>Client Interaction</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Client Communication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Generates controlled, context-specific client communications.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Information Request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Requests missing information in plain language.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Clarification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Asks targeted questions when supplied information is ambiguous.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Reminder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Sends approved reminders based on SLA and outstanding requirements.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Client Response Interpretation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Converts client responses into structured onboarding updates.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Relationship Manager Copilot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Summarises status, blockers and required RM actions.</w:t>
            </w:r>
          </w:p>
        </w:tc>
      </w:tr>
    </w:tbl>
    <w:p>
      <w:pPr>
        <w:keepNext/>
        <w:spacing w:before="280" w:after="80"/>
      </w:pPr>
      <w:r>
        <w:rPr>
          <w:rFonts w:ascii="Calibri" w:hAnsi="Calibri"/>
          <w:b/>
          <w:color w:val="003366"/>
          <w:sz w:val="26"/>
        </w:rPr>
        <w:t>Quality &amp; Controls</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Completeness Control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Checks all mandatory activities and evidence.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Data Quality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Applies data-quality controls to onboarding information.</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Cross-Source Consistency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Checks consistency across registry, documents, declarations and internal records.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Evidence Sufficiency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Determines whether each assertion has acceptable evidence.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Decision Consistency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Checks decisions against comparable rule outcomes.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Four-Eyes Requirement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Determines where mandatory maker-checker controls apply.</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Quality Assurance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Performs independent final control review.</w:t>
            </w:r>
          </w:p>
        </w:tc>
      </w:tr>
    </w:tbl>
    <w:p>
      <w:pPr>
        <w:keepNext/>
        <w:spacing w:before="280" w:after="80"/>
      </w:pPr>
      <w:r>
        <w:rPr>
          <w:rFonts w:ascii="Calibri" w:hAnsi="Calibri"/>
          <w:b/>
          <w:color w:val="003366"/>
          <w:sz w:val="26"/>
        </w:rPr>
        <w:t>Decisioning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Decision Readiness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whether the case is ready for decision.</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Approval Requirement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Determines which human or system approvals are legally or policy required.</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Recommendation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Produces an evidence-backed approve, reject or escalate recommendation.</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Decision Explanation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Creates traceable explanations referencing evidence and rules.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Residual Risk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Identifies unresolved risks that must accompany approval.</w:t>
            </w:r>
          </w:p>
        </w:tc>
      </w:tr>
    </w:tbl>
    <w:p>
      <w:pPr>
        <w:keepNext/>
        <w:spacing w:before="280" w:after="80"/>
      </w:pPr>
      <w:r>
        <w:rPr>
          <w:rFonts w:ascii="Calibri" w:hAnsi="Calibri"/>
          <w:b/>
          <w:color w:val="003366"/>
          <w:sz w:val="26"/>
        </w:rPr>
        <w:t>Fulfilment</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Fulfilment Orchestrator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Coordinates downstream setup after approval.</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Client Master Creation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Submits approved golden-record creation or update.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Product Setup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Coordinates product-specific provisioning.</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Entitlement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Coordinates approved user and access entitlement requests.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Activation Verification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Confirms required downstream setup completed successfully.</w:t>
            </w:r>
          </w:p>
        </w:tc>
      </w:tr>
    </w:tbl>
    <w:p>
      <w:pPr>
        <w:keepNext/>
        <w:spacing w:before="280" w:after="80"/>
      </w:pPr>
      <w:r>
        <w:rPr>
          <w:rFonts w:ascii="Calibri" w:hAnsi="Calibri"/>
          <w:b/>
          <w:color w:val="003366"/>
          <w:sz w:val="26"/>
        </w:rPr>
        <w:t>Audit &amp; Governance</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Audit Trail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Records every agent action, tool call, evidence input and decision.</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Decision Lineage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Maintains requirement-to-evidence-to-rule-to-decision lineage.</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Agent Compliance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Checks whether agents operate within authorised boundaries.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Hallucination Guard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Rejects unsupported assertions and requires evidence references.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Evidence Citation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Ensures material conclusions identify their supporting evidence.</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Model Risk Monitoring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Monitors agent performance, drift and exception patterns.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Agent Evaluation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Continuously evaluates individual agent accuracy against outcomes.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Access Control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Ensures agents access only permitted client data and tools.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Data Sovereignty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Controls data processing according to residency and jurisdiction rules.</w:t>
            </w:r>
          </w:p>
        </w:tc>
      </w:tr>
    </w:tbl>
    <w:p>
      <w:pPr>
        <w:keepNext/>
        <w:spacing w:before="280" w:after="80"/>
      </w:pPr>
      <w:r>
        <w:rPr>
          <w:rFonts w:ascii="Calibri" w:hAnsi="Calibri"/>
          <w:b/>
          <w:color w:val="003366"/>
          <w:sz w:val="26"/>
        </w:rPr>
        <w:t>Post-Onboarding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rPr>
          <w:tblHeader/>
        </w:trPr>
        <w:tc>
          <w:tcPr>
            <w:tcW w:type="dxa" w:w="3168"/>
            <w:shd w:fill="003366"/>
            <w:tcMar>
              <w:top w:w="100" w:type="dxa"/>
              <w:bottom w:w="100" w:type="dxa"/>
              <w:left w:w="120" w:type="dxa"/>
              <w:right w:w="120" w:type="dxa"/>
            </w:tcMar>
          </w:tcPr>
          <w:p>
            <w:pPr>
              <w:spacing w:before="40" w:after="40"/>
            </w:pPr>
            <w:r>
              <w:rPr>
                <w:rFonts w:ascii="Calibri" w:hAnsi="Calibri"/>
                <w:b/>
                <w:color w:val="FFFFFF"/>
                <w:sz w:val="20"/>
              </w:rPr>
              <w:t>Agent</w:t>
            </w:r>
          </w:p>
        </w:tc>
        <w:tc>
          <w:tcPr>
            <w:tcW w:type="dxa" w:w="6192"/>
            <w:shd w:fill="003366"/>
            <w:tcMar>
              <w:top w:w="100" w:type="dxa"/>
              <w:bottom w:w="100" w:type="dxa"/>
              <w:left w:w="120" w:type="dxa"/>
              <w:right w:w="120" w:type="dxa"/>
            </w:tcMar>
          </w:tcPr>
          <w:p>
            <w:pPr>
              <w:spacing w:before="40" w:after="40"/>
            </w:pPr>
            <w:r>
              <w:rPr>
                <w:rFonts w:ascii="Calibri" w:hAnsi="Calibri"/>
                <w:b/>
                <w:color w:val="FFFFFF"/>
                <w:sz w:val="20"/>
              </w:rPr>
              <w:t>Focused skills / responsibilities</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Onboarding Closure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Verifies fulfilment and formally closes onboarding.</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Handover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Creates structured handover to BAU servicing and monitoring.</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Periodic Review Scheduling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Determines the next review date from approved policy.</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Trigger Event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Interprets verified material client events and initiates appropriate review.</w:t>
            </w:r>
          </w:p>
        </w:tc>
      </w:tr>
      <w:tr>
        <w:tc>
          <w:tcPr>
            <w:tcW w:type="dxa" w:w="3168"/>
            <w:shd w:fill="FFFFFF"/>
            <w:tcMar>
              <w:top w:w="80" w:type="dxa"/>
              <w:bottom w:w="80" w:type="dxa"/>
              <w:left w:w="120" w:type="dxa"/>
              <w:right w:w="120" w:type="dxa"/>
            </w:tcMar>
          </w:tcPr>
          <w:p>
            <w:pPr>
              <w:spacing w:before="40" w:after="40"/>
            </w:pPr>
            <w:r>
              <w:rPr>
                <w:rFonts w:ascii="Calibri" w:hAnsi="Calibri"/>
                <w:b/>
                <w:color w:val="1E1E1E"/>
                <w:sz w:val="19"/>
              </w:rPr>
              <w:t>Continuous KYC Agent</w:t>
            </w:r>
          </w:p>
        </w:tc>
        <w:tc>
          <w:tcPr>
            <w:tcW w:type="dxa" w:w="6192"/>
            <w:shd w:fill="FFFFFF"/>
            <w:tcMar>
              <w:top w:w="80" w:type="dxa"/>
              <w:bottom w:w="80" w:type="dxa"/>
              <w:left w:w="120" w:type="dxa"/>
              <w:right w:w="120" w:type="dxa"/>
            </w:tcMar>
          </w:tcPr>
          <w:p>
            <w:pPr>
              <w:spacing w:before="40" w:after="40"/>
            </w:pPr>
            <w:r>
              <w:rPr>
                <w:rFonts w:ascii="Calibri" w:hAnsi="Calibri"/>
                <w:color w:val="323232"/>
                <w:sz w:val="19"/>
              </w:rPr>
              <w:t>Coordinates event-driven KYC refresh activities.</w:t>
            </w:r>
          </w:p>
        </w:tc>
      </w:tr>
      <w:tr>
        <w:tc>
          <w:tcPr>
            <w:tcW w:type="dxa" w:w="3168"/>
            <w:shd w:fill="F9FAFB"/>
            <w:tcMar>
              <w:top w:w="80" w:type="dxa"/>
              <w:bottom w:w="80" w:type="dxa"/>
              <w:left w:w="120" w:type="dxa"/>
              <w:right w:w="120" w:type="dxa"/>
            </w:tcMar>
          </w:tcPr>
          <w:p>
            <w:pPr>
              <w:spacing w:before="40" w:after="40"/>
            </w:pPr>
            <w:r>
              <w:rPr>
                <w:rFonts w:ascii="Calibri" w:hAnsi="Calibri"/>
                <w:b/>
                <w:color w:val="1E1E1E"/>
                <w:sz w:val="19"/>
              </w:rPr>
              <w:t>Client Change Agent</w:t>
            </w:r>
          </w:p>
        </w:tc>
        <w:tc>
          <w:tcPr>
            <w:tcW w:type="dxa" w:w="6192"/>
            <w:shd w:fill="F9FAFB"/>
            <w:tcMar>
              <w:top w:w="80" w:type="dxa"/>
              <w:bottom w:w="80" w:type="dxa"/>
              <w:left w:w="120" w:type="dxa"/>
              <w:right w:w="120" w:type="dxa"/>
            </w:tcMar>
          </w:tcPr>
          <w:p>
            <w:pPr>
              <w:spacing w:before="40" w:after="40"/>
            </w:pPr>
            <w:r>
              <w:rPr>
                <w:rFonts w:ascii="Calibri" w:hAnsi="Calibri"/>
                <w:color w:val="323232"/>
                <w:sz w:val="19"/>
              </w:rPr>
              <w:t>Assesses whether client-data changes require partial re-onboarding.</w:t>
            </w:r>
          </w:p>
        </w:tc>
      </w:tr>
    </w:tbl>
    <w:p>
      <w:pPr>
        <w:keepNext/>
        <w:spacing w:before="480" w:after="160"/>
      </w:pPr>
      <w:r>
        <w:rPr>
          <w:rFonts w:ascii="Calibri" w:hAnsi="Calibri"/>
          <w:b/>
          <w:color w:val="003366"/>
          <w:sz w:val="36"/>
        </w:rPr>
        <w:t>Operating Model and Guardrails</w:t>
      </w:r>
    </w:p>
    <w:p>
      <w:pPr>
        <w:spacing w:before="80" w:after="160"/>
      </w:pPr>
      <w:r>
        <w:rPr>
          <w:rFonts w:ascii="Calibri" w:hAnsi="Calibri"/>
          <w:b/>
          <w:color w:val="003366"/>
          <w:sz w:val="24"/>
        </w:rPr>
        <w:t>Not every agent should be an LLM</w:t>
      </w:r>
    </w:p>
    <w:p>
      <w:pPr>
        <w:pStyle w:val="ListBullet"/>
        <w:spacing w:before="40" w:after="60"/>
      </w:pPr>
      <w:r>
        <w:rPr>
          <w:rFonts w:ascii="Calibri" w:hAnsi="Calibri"/>
          <w:b/>
          <w:sz w:val="20"/>
        </w:rPr>
        <w:t xml:space="preserve">Deterministic agents: </w:t>
      </w:r>
      <w:r>
        <w:rPr>
          <w:rFonts w:ascii="Calibri" w:hAnsi="Calibri"/>
          <w:sz w:val="20"/>
        </w:rPr>
        <w:t>Policy rules, calculations, eligibility, risk scores, checklist generation and mandatory controls should call governed rules engines or deterministic services.</w:t>
      </w:r>
    </w:p>
    <w:p>
      <w:pPr>
        <w:pStyle w:val="ListBullet"/>
        <w:spacing w:before="40" w:after="60"/>
      </w:pPr>
      <w:r>
        <w:rPr>
          <w:rFonts w:ascii="Calibri" w:hAnsi="Calibri"/>
          <w:b/>
          <w:sz w:val="20"/>
        </w:rPr>
        <w:t xml:space="preserve">Retrieval and tool agents: </w:t>
      </w:r>
      <w:r>
        <w:rPr>
          <w:rFonts w:ascii="Calibri" w:hAnsi="Calibri"/>
          <w:sz w:val="20"/>
        </w:rPr>
        <w:t>Fetch data from CRM, client masters, registries, screening platforms, document stores and approved external providers.</w:t>
      </w:r>
    </w:p>
    <w:p>
      <w:pPr>
        <w:pStyle w:val="ListBullet"/>
        <w:spacing w:before="40" w:after="60"/>
      </w:pPr>
      <w:r>
        <w:rPr>
          <w:rFonts w:ascii="Calibri" w:hAnsi="Calibri"/>
          <w:b/>
          <w:sz w:val="20"/>
        </w:rPr>
        <w:t xml:space="preserve">Bounded reasoning agents: </w:t>
      </w:r>
      <w:r>
        <w:rPr>
          <w:rFonts w:ascii="Calibri" w:hAnsi="Calibri"/>
          <w:sz w:val="20"/>
        </w:rPr>
        <w:t>Handle evidence comparison, document understanding, ownership analysis and exception summarisation with structured, evidence-grounded outputs.</w:t>
      </w:r>
    </w:p>
    <w:p>
      <w:pPr>
        <w:pStyle w:val="ListBullet"/>
        <w:spacing w:before="40" w:after="60"/>
      </w:pPr>
      <w:r>
        <w:rPr>
          <w:rFonts w:ascii="Calibri" w:hAnsi="Calibri"/>
          <w:b/>
          <w:sz w:val="20"/>
        </w:rPr>
        <w:t xml:space="preserve">Human-decision agents: </w:t>
      </w:r>
      <w:r>
        <w:rPr>
          <w:rFonts w:ascii="Calibri" w:hAnsi="Calibri"/>
          <w:sz w:val="20"/>
        </w:rPr>
        <w:t>Assemble decision packages and route them to authorised humans rather than making decisions reserved for human judgement.</w:t>
      </w:r>
    </w:p>
    <w:p>
      <w:pPr>
        <w:keepNext/>
        <w:spacing w:before="240" w:after="80"/>
      </w:pPr>
      <w:r>
        <w:rPr>
          <w:rFonts w:ascii="Calibri" w:hAnsi="Calibri"/>
          <w:b/>
          <w:color w:val="003366"/>
          <w:sz w:val="24"/>
        </w:rPr>
        <w:t>Core Agentic Pattern</w:t>
      </w:r>
    </w:p>
    <w:p>
      <w:pPr>
        <w:spacing w:before="80" w:after="160"/>
      </w:pPr>
      <w:r>
        <w:rPr>
          <w:rFonts w:ascii="Calibri" w:hAnsi="Calibri"/>
          <w:b/>
          <w:color w:val="003366"/>
          <w:sz w:val="20"/>
        </w:rPr>
        <w:t>Business Goal → Supervisor → Dynamic Plan → Specialist Agent Mesh → Evidence &amp; Rules → Exception-based HITL → Fulfilment</w:t>
      </w:r>
    </w:p>
    <w:p>
      <w:pPr>
        <w:spacing w:before="40" w:after="240"/>
      </w:pPr>
      <w:r>
        <w:rPr>
          <w:rFonts w:ascii="Calibri" w:hAnsi="Calibri"/>
          <w:sz w:val="20"/>
        </w:rPr>
        <w:t>The case is the persistent state; the process is dynamic. Rather than encoding the journey as a fixed BPMN sequence, the Onboarding Orchestrator continuously evaluates current case state, identifies the next required outcomes and delegates narrowly defined work to specialist agents.</w:t>
      </w:r>
    </w:p>
    <w:p>
      <w:pPr>
        <w:keepNext/>
        <w:spacing w:before="240" w:after="80"/>
      </w:pPr>
      <w:r>
        <w:rPr>
          <w:rFonts w:ascii="Calibri" w:hAnsi="Calibri"/>
          <w:b/>
          <w:color w:val="003366"/>
          <w:sz w:val="24"/>
        </w:rPr>
        <w:t>Agent Contract — mandatory for every agent</w:t>
      </w:r>
    </w:p>
    <w:p>
      <w:pPr>
        <w:spacing w:before="40" w:after="240"/>
      </w:pPr>
      <w:r>
        <w:rPr>
          <w:rFonts w:ascii="Calibri" w:hAnsi="Calibri"/>
          <w:sz w:val="20"/>
        </w:rPr>
        <w:t>Each agent should have: (1) one business purpose, (2) explicit input schema, (3) permitted tools and APIs, (4) authoritative sources, (5) structured output schema, (6) confidence thresholds, (7) prohibited decisions, (8) escalation conditions, (9) evidence requirements, and (10) a defined maximum autonomy level. This contract is central to making a 100+ agent architecture governable and reducing hallucination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