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120"/>
        <w:jc w:val="center"/>
      </w:pPr>
      <w:r>
        <w:rPr>
          <w:rFonts w:ascii="Arial" w:cs="Arial" w:eastAsia="Arial" w:hAnsi="Arial"/>
          <w:b/>
          <w:bCs/>
          <w:color w:val="1B2A4A"/>
          <w:sz w:val="56"/>
          <w:szCs w:val="56"/>
        </w:rPr>
        <w:t xml:space="preserve">VIABE.AI</w:t>
      </w:r>
    </w:p>
    <w:p>
      <w:pPr>
        <w:spacing w:after="600"/>
        <w:jc w:val="center"/>
      </w:pPr>
      <w:r>
        <w:rPr>
          <w:rFonts w:ascii="Arial" w:cs="Arial" w:eastAsia="Arial" w:hAnsi="Arial"/>
          <w:b/>
          <w:bCs/>
          <w:color w:val="2E75B6"/>
          <w:sz w:val="72"/>
          <w:szCs w:val="72"/>
        </w:rPr>
        <w:t xml:space="preserve">VIABE PULSE</w:t>
      </w:r>
    </w:p>
    <w:p>
      <w:pPr>
        <w:spacing w:after="80"/>
        <w:jc w:val="center"/>
      </w:pPr>
      <w:r>
        <w:rPr>
          <w:rFonts w:ascii="Arial" w:cs="Arial" w:eastAsia="Arial" w:hAnsi="Arial"/>
          <w:color w:val="555555"/>
          <w:sz w:val="32"/>
          <w:szCs w:val="32"/>
        </w:rPr>
        <w:t xml:space="preserve">Concept Note</w:t>
      </w:r>
    </w:p>
    <w:p>
      <w:pPr>
        <w:spacing w:after="80"/>
        <w:jc w:val="center"/>
      </w:pPr>
      <w:r>
        <w:rPr>
          <w:rFonts w:ascii="Arial" w:cs="Arial" w:eastAsia="Arial" w:hAnsi="Arial"/>
          <w:color w:val="7F8C8D"/>
          <w:sz w:val="26"/>
          <w:szCs w:val="26"/>
        </w:rPr>
        <w:t xml:space="preserve">The Competitive Intelligence Subscription Platform</w:t>
      </w:r>
    </w:p>
    <w:p>
      <w:pPr>
        <w:spacing w:after="600"/>
        <w:jc w:val="center"/>
      </w:pPr>
      <w:r>
        <w:rPr>
          <w:rFonts w:ascii="Arial" w:cs="Arial" w:eastAsia="Arial" w:hAnsi="Arial"/>
          <w:i/>
          <w:iCs/>
          <w:color w:val="7F8C8D"/>
          <w:sz w:val="24"/>
          <w:szCs w:val="24"/>
        </w:rPr>
        <w:t xml:space="preserve">Lifecycle Location Intelligence for Every Physical &amp; Digital Business</w:t>
      </w:r>
    </w:p>
    <w:p>
      <w:pPr>
        <w:pBdr>
          <w:top w:val="single" w:color="2E75B6" w:sz="6" w:space="12"/>
        </w:pBdr>
        <w:spacing w:after="0"/>
        <w:jc w:val="center"/>
      </w:pPr>
    </w:p>
    <w:p>
      <w:pPr>
        <w:spacing w:after="80" w:before="200"/>
        <w:jc w:val="center"/>
      </w:pPr>
      <w:r>
        <w:rPr>
          <w:rFonts w:ascii="Arial" w:cs="Arial" w:eastAsia="Arial" w:hAnsi="Arial"/>
          <w:color w:val="777777"/>
          <w:sz w:val="22"/>
          <w:szCs w:val="22"/>
        </w:rPr>
        <w:t xml:space="preserve">Version 1.0 — April 2026</w:t>
      </w:r>
    </w:p>
    <w:p>
      <w:pPr>
        <w:spacing w:after="80"/>
        <w:jc w:val="center"/>
      </w:pPr>
      <w:r>
        <w:rPr>
          <w:rFonts w:ascii="Arial" w:cs="Arial" w:eastAsia="Arial" w:hAnsi="Arial"/>
          <w:color w:val="777777"/>
          <w:sz w:val="22"/>
          <w:szCs w:val="22"/>
        </w:rPr>
        <w:t xml:space="preserve">Classification: Internal — Viabe.ai Co-Founding Board</w:t>
      </w:r>
    </w:p>
    <w:p>
      <w:pPr>
        <w:spacing w:after="80"/>
        <w:jc w:val="center"/>
      </w:pPr>
      <w:r>
        <w:rPr>
          <w:rFonts w:ascii="Arial" w:cs="Arial" w:eastAsia="Arial" w:hAnsi="Arial"/>
          <w:color w:val="999999"/>
          <w:sz w:val="20"/>
          <w:szCs w:val="20"/>
        </w:rPr>
        <w:t xml:space="preserve">Incorporating reviews from: Clau (COO), CG (Chief Strategist), GEM, GAI</w:t>
      </w:r>
    </w:p>
    <w:p>
      <w:pPr>
        <w:spacing w:after="0"/>
        <w:jc w:val="center"/>
      </w:pPr>
      <w:r>
        <w:rPr>
          <w:rFonts w:ascii="Arial" w:cs="Arial" w:eastAsia="Arial" w:hAnsi="Arial"/>
          <w:b/>
          <w:bCs/>
          <w:color w:val="1B2A4A"/>
          <w:sz w:val="20"/>
          <w:szCs w:val="20"/>
        </w:rPr>
        <w:t xml:space="preserve">This document is the single source of truth for Viabe Pulse.</w:t>
      </w:r>
    </w:p>
    <w:p>
      <w:pPr>
        <w:sectPr>
          <w:pgSz w:w="12240" w:h="15840" w:orient="portrait"/>
          <w:pgMar w:top="1440" w:right="1440" w:bottom="1440" w:left="1440" w:header="708" w:footer="708" w:gutter="0"/>
          <w:pgNumType/>
          <w:docGrid w:linePitch="360"/>
        </w:sectPr>
      </w:pPr>
    </w:p>
    <w:p>
      <w:pPr>
        <w:pStyle w:val="Heading1"/>
        <w:spacing w:after="200" w:before="360"/>
      </w:pPr>
      <w:r>
        <w:t xml:space="preserve">Table of Contents</w:t>
      </w:r>
    </w:p>
    <w:p>
      <w:pPr>
        <w:spacing w:after="240" w:before="0" w:line="276"/>
        <w:jc w:val="left"/>
      </w:pPr>
      <w:r>
        <w:rPr>
          <w:rFonts w:ascii="Arial" w:cs="Arial" w:eastAsia="Arial" w:hAnsi="Arial"/>
          <w:b w:val="false"/>
          <w:bCs w:val="false"/>
          <w:i/>
          <w:iCs/>
          <w:color w:val="999999"/>
          <w:sz w:val="20"/>
          <w:szCs w:val="20"/>
        </w:rPr>
        <w:t xml:space="preserve">To update this table of contents in Microsoft Word: Click inside the table below, then press Ctrl+A followed by F9. In Google Docs, the TOC updates automatically.</w:t>
      </w:r>
    </w:p>
    <w:p>
      <w:pPr>
        <w:spacing w:after="80" w:before="0" w:line="276"/>
        <w:jc w:val="left"/>
      </w:pPr>
      <w:r>
        <w:rPr>
          <w:rFonts w:ascii="Arial" w:cs="Arial" w:eastAsia="Arial" w:hAnsi="Arial"/>
          <w:b w:val="false"/>
          <w:bCs w:val="false"/>
          <w:i w:val="false"/>
          <w:iCs w:val="false"/>
          <w:color w:val="333333"/>
          <w:sz w:val="22"/>
          <w:szCs w:val="22"/>
        </w:rPr>
        <w:t xml:space="preserve">1. Executive Summary</w:t>
      </w:r>
    </w:p>
    <w:p>
      <w:pPr>
        <w:spacing w:after="80" w:before="0" w:line="276"/>
        <w:jc w:val="left"/>
      </w:pPr>
      <w:r>
        <w:rPr>
          <w:rFonts w:ascii="Arial" w:cs="Arial" w:eastAsia="Arial" w:hAnsi="Arial"/>
          <w:b w:val="false"/>
          <w:bCs w:val="false"/>
          <w:i w:val="false"/>
          <w:iCs w:val="false"/>
          <w:color w:val="333333"/>
          <w:sz w:val="22"/>
          <w:szCs w:val="22"/>
        </w:rPr>
        <w:t xml:space="preserve">2. Strategic Context Within the Viabe Platform</w:t>
      </w:r>
    </w:p>
    <w:p>
      <w:pPr>
        <w:spacing w:after="40" w:before="0" w:line="276"/>
        <w:jc w:val="left"/>
      </w:pPr>
      <w:r>
        <w:rPr>
          <w:rFonts w:ascii="Arial" w:cs="Arial" w:eastAsia="Arial" w:hAnsi="Arial"/>
          <w:b w:val="false"/>
          <w:bCs w:val="false"/>
          <w:i w:val="false"/>
          <w:iCs w:val="false"/>
          <w:color w:val="333333"/>
          <w:sz w:val="22"/>
          <w:szCs w:val="22"/>
        </w:rPr>
        <w:t xml:space="preserve">3. The Value Proposition: $1,000/Week in 15 Value Streams</w:t>
      </w:r>
    </w:p>
    <w:p>
      <w:pPr>
        <w:spacing w:after="40" w:before="0" w:line="276"/>
        <w:jc w:val="left"/>
      </w:pPr>
      <w:r>
        <w:rPr>
          <w:rFonts w:ascii="Arial" w:cs="Arial" w:eastAsia="Arial" w:hAnsi="Arial"/>
          <w:b w:val="false"/>
          <w:bCs w:val="false"/>
          <w:i w:val="false"/>
          <w:iCs w:val="false"/>
          <w:color w:val="555555"/>
          <w:sz w:val="22"/>
          <w:szCs w:val="22"/>
        </w:rPr>
        <w:t xml:space="preserve">    3.1 Category A: Revenue &amp; Margin Protection</w:t>
      </w:r>
    </w:p>
    <w:p>
      <w:pPr>
        <w:spacing w:after="40" w:before="0" w:line="276"/>
        <w:jc w:val="left"/>
      </w:pPr>
      <w:r>
        <w:rPr>
          <w:rFonts w:ascii="Arial" w:cs="Arial" w:eastAsia="Arial" w:hAnsi="Arial"/>
          <w:b w:val="false"/>
          <w:bCs w:val="false"/>
          <w:i w:val="false"/>
          <w:iCs w:val="false"/>
          <w:color w:val="555555"/>
          <w:sz w:val="22"/>
          <w:szCs w:val="22"/>
        </w:rPr>
        <w:t xml:space="preserve">    3.2 Category B: Cost Reduction &amp; Efficiency</w:t>
      </w:r>
    </w:p>
    <w:p>
      <w:pPr>
        <w:spacing w:after="40" w:before="0" w:line="276"/>
        <w:jc w:val="left"/>
      </w:pPr>
      <w:r>
        <w:rPr>
          <w:rFonts w:ascii="Arial" w:cs="Arial" w:eastAsia="Arial" w:hAnsi="Arial"/>
          <w:b w:val="false"/>
          <w:bCs w:val="false"/>
          <w:i w:val="false"/>
          <w:iCs w:val="false"/>
          <w:color w:val="555555"/>
          <w:sz w:val="22"/>
          <w:szCs w:val="22"/>
        </w:rPr>
        <w:t xml:space="preserve">    3.3 Category C: Growth &amp; Demand Capture</w:t>
      </w:r>
    </w:p>
    <w:p>
      <w:pPr>
        <w:spacing w:after="40" w:before="0" w:line="276"/>
        <w:jc w:val="left"/>
      </w:pPr>
      <w:r>
        <w:rPr>
          <w:rFonts w:ascii="Arial" w:cs="Arial" w:eastAsia="Arial" w:hAnsi="Arial"/>
          <w:b w:val="false"/>
          <w:bCs w:val="false"/>
          <w:i w:val="false"/>
          <w:iCs w:val="false"/>
          <w:color w:val="555555"/>
          <w:sz w:val="22"/>
          <w:szCs w:val="22"/>
        </w:rPr>
        <w:t xml:space="preserve">    3.4 Category D: Digital Presence &amp; Reputation</w:t>
      </w:r>
    </w:p>
    <w:p>
      <w:pPr>
        <w:spacing w:after="80" w:before="0" w:line="276"/>
        <w:jc w:val="left"/>
      </w:pPr>
      <w:r>
        <w:rPr>
          <w:rFonts w:ascii="Arial" w:cs="Arial" w:eastAsia="Arial" w:hAnsi="Arial"/>
          <w:b w:val="false"/>
          <w:bCs w:val="false"/>
          <w:i w:val="false"/>
          <w:iCs w:val="false"/>
          <w:color w:val="555555"/>
          <w:sz w:val="22"/>
          <w:szCs w:val="22"/>
        </w:rPr>
        <w:t xml:space="preserve">    3.5 Category E: Risk Mitigation &amp; Compliance</w:t>
      </w:r>
    </w:p>
    <w:p>
      <w:pPr>
        <w:spacing w:after="80" w:before="0" w:line="276"/>
        <w:jc w:val="left"/>
      </w:pPr>
      <w:r>
        <w:rPr>
          <w:rFonts w:ascii="Arial" w:cs="Arial" w:eastAsia="Arial" w:hAnsi="Arial"/>
          <w:b w:val="false"/>
          <w:bCs w:val="false"/>
          <w:i w:val="false"/>
          <w:iCs w:val="false"/>
          <w:color w:val="333333"/>
          <w:sz w:val="22"/>
          <w:szCs w:val="22"/>
        </w:rPr>
        <w:t xml:space="preserve">4. Value Stream Scorecard</w:t>
      </w:r>
    </w:p>
    <w:p>
      <w:pPr>
        <w:spacing w:after="80" w:before="0" w:line="276"/>
        <w:jc w:val="left"/>
      </w:pPr>
      <w:r>
        <w:rPr>
          <w:rFonts w:ascii="Arial" w:cs="Arial" w:eastAsia="Arial" w:hAnsi="Arial"/>
          <w:b w:val="false"/>
          <w:bCs w:val="false"/>
          <w:i w:val="false"/>
          <w:iCs w:val="false"/>
          <w:color w:val="333333"/>
          <w:sz w:val="22"/>
          <w:szCs w:val="22"/>
        </w:rPr>
        <w:t xml:space="preserve">5. The Moat: Why Pulse Becomes Non-Competeable</w:t>
      </w:r>
    </w:p>
    <w:p>
      <w:pPr>
        <w:spacing w:after="40" w:before="0" w:line="276"/>
        <w:jc w:val="left"/>
      </w:pPr>
      <w:r>
        <w:rPr>
          <w:rFonts w:ascii="Arial" w:cs="Arial" w:eastAsia="Arial" w:hAnsi="Arial"/>
          <w:b w:val="false"/>
          <w:bCs w:val="false"/>
          <w:i w:val="false"/>
          <w:iCs w:val="false"/>
          <w:color w:val="333333"/>
          <w:sz w:val="22"/>
          <w:szCs w:val="22"/>
        </w:rPr>
        <w:t xml:space="preserve">6. Technical Architecture</w:t>
      </w:r>
    </w:p>
    <w:p>
      <w:pPr>
        <w:spacing w:after="40" w:before="0" w:line="276"/>
        <w:jc w:val="left"/>
      </w:pPr>
      <w:r>
        <w:rPr>
          <w:rFonts w:ascii="Arial" w:cs="Arial" w:eastAsia="Arial" w:hAnsi="Arial"/>
          <w:b w:val="false"/>
          <w:bCs w:val="false"/>
          <w:i w:val="false"/>
          <w:iCs w:val="false"/>
          <w:color w:val="555555"/>
          <w:sz w:val="22"/>
          <w:szCs w:val="22"/>
        </w:rPr>
        <w:t xml:space="preserve">    6.1 Data Collection Layer</w:t>
      </w:r>
    </w:p>
    <w:p>
      <w:pPr>
        <w:spacing w:after="40" w:before="0" w:line="276"/>
        <w:jc w:val="left"/>
      </w:pPr>
      <w:r>
        <w:rPr>
          <w:rFonts w:ascii="Arial" w:cs="Arial" w:eastAsia="Arial" w:hAnsi="Arial"/>
          <w:b w:val="false"/>
          <w:bCs w:val="false"/>
          <w:i w:val="false"/>
          <w:iCs w:val="false"/>
          <w:color w:val="555555"/>
          <w:sz w:val="22"/>
          <w:szCs w:val="22"/>
        </w:rPr>
        <w:t xml:space="preserve">    6.2 Processing &amp; Intelligence Layer</w:t>
      </w:r>
    </w:p>
    <w:p>
      <w:pPr>
        <w:spacing w:after="40" w:before="0" w:line="276"/>
        <w:jc w:val="left"/>
      </w:pPr>
      <w:r>
        <w:rPr>
          <w:rFonts w:ascii="Arial" w:cs="Arial" w:eastAsia="Arial" w:hAnsi="Arial"/>
          <w:b w:val="false"/>
          <w:bCs w:val="false"/>
          <w:i w:val="false"/>
          <w:iCs w:val="false"/>
          <w:color w:val="555555"/>
          <w:sz w:val="22"/>
          <w:szCs w:val="22"/>
        </w:rPr>
        <w:t xml:space="preserve">    6.3 Delivery Layer</w:t>
      </w:r>
    </w:p>
    <w:p>
      <w:pPr>
        <w:spacing w:after="40" w:before="0" w:line="276"/>
        <w:jc w:val="left"/>
      </w:pPr>
      <w:r>
        <w:rPr>
          <w:rFonts w:ascii="Arial" w:cs="Arial" w:eastAsia="Arial" w:hAnsi="Arial"/>
          <w:b w:val="false"/>
          <w:bCs w:val="false"/>
          <w:i w:val="false"/>
          <w:iCs w:val="false"/>
          <w:color w:val="555555"/>
          <w:sz w:val="22"/>
          <w:szCs w:val="22"/>
        </w:rPr>
        <w:t xml:space="preserve">    6.4 Storage &amp; Memory</w:t>
      </w:r>
    </w:p>
    <w:p>
      <w:pPr>
        <w:spacing w:after="80" w:before="0" w:line="276"/>
        <w:jc w:val="left"/>
      </w:pPr>
      <w:r>
        <w:rPr>
          <w:rFonts w:ascii="Arial" w:cs="Arial" w:eastAsia="Arial" w:hAnsi="Arial"/>
          <w:b w:val="false"/>
          <w:bCs w:val="false"/>
          <w:i w:val="false"/>
          <w:iCs w:val="false"/>
          <w:color w:val="555555"/>
          <w:sz w:val="22"/>
          <w:szCs w:val="22"/>
        </w:rPr>
        <w:t xml:space="preserve">    6.5 Cost Per Subscriber Per Month</w:t>
      </w:r>
    </w:p>
    <w:p>
      <w:pPr>
        <w:spacing w:after="80" w:before="0" w:line="276"/>
        <w:jc w:val="left"/>
      </w:pPr>
      <w:r>
        <w:rPr>
          <w:rFonts w:ascii="Arial" w:cs="Arial" w:eastAsia="Arial" w:hAnsi="Arial"/>
          <w:b w:val="false"/>
          <w:bCs w:val="false"/>
          <w:i w:val="false"/>
          <w:iCs w:val="false"/>
          <w:color w:val="333333"/>
          <w:sz w:val="22"/>
          <w:szCs w:val="22"/>
        </w:rPr>
        <w:t xml:space="preserve">7. Pricing Strategy</w:t>
      </w:r>
    </w:p>
    <w:p>
      <w:pPr>
        <w:spacing w:after="80" w:before="0" w:line="276"/>
        <w:jc w:val="left"/>
      </w:pPr>
      <w:r>
        <w:rPr>
          <w:rFonts w:ascii="Arial" w:cs="Arial" w:eastAsia="Arial" w:hAnsi="Arial"/>
          <w:b w:val="false"/>
          <w:bCs w:val="false"/>
          <w:i w:val="false"/>
          <w:iCs w:val="false"/>
          <w:color w:val="333333"/>
          <w:sz w:val="22"/>
          <w:szCs w:val="22"/>
        </w:rPr>
        <w:t xml:space="preserve">8. Implementation Roadmap</w:t>
      </w:r>
    </w:p>
    <w:p>
      <w:pPr>
        <w:spacing w:after="80" w:before="0" w:line="276"/>
        <w:jc w:val="left"/>
      </w:pPr>
      <w:r>
        <w:rPr>
          <w:rFonts w:ascii="Arial" w:cs="Arial" w:eastAsia="Arial" w:hAnsi="Arial"/>
          <w:b w:val="false"/>
          <w:bCs w:val="false"/>
          <w:i w:val="false"/>
          <w:iCs w:val="false"/>
          <w:color w:val="333333"/>
          <w:sz w:val="22"/>
          <w:szCs w:val="22"/>
        </w:rPr>
        <w:t xml:space="preserve">9. Document Relationships</w:t>
      </w:r>
    </w:p>
    <w:p>
      <w:r>
        <w:br w:type="page"/>
      </w:r>
    </w:p>
    <w:p>
      <w:pPr>
        <w:pStyle w:val="Heading1"/>
        <w:spacing w:after="200" w:before="360"/>
      </w:pPr>
      <w:r>
        <w:t xml:space="preserve">1. Executive Summary</w:t>
      </w:r>
    </w:p>
    <w:p>
      <w:pPr>
        <w:spacing w:after="160" w:before="0" w:line="276"/>
        <w:jc w:val="left"/>
      </w:pPr>
      <w:r>
        <w:rPr>
          <w:rFonts w:ascii="Arial" w:cs="Arial" w:eastAsia="Arial" w:hAnsi="Arial"/>
          <w:b w:val="false"/>
          <w:bCs w:val="false"/>
          <w:i w:val="false"/>
          <w:iCs w:val="false"/>
          <w:color w:val="333333"/>
          <w:sz w:val="22"/>
          <w:szCs w:val="22"/>
        </w:rPr>
        <w:t xml:space="preserve">Viabe Pulse is a competitive intelligence subscription platform that delivers quantified, actionable business intelligence to any physical or digital business — weekly. It is the second layer (the Moat) in Viabe.ai’s three-layer platform strategy: Report Wedge → Pulse Moat → VRI Infrastructure.</w:t>
      </w:r>
    </w:p>
    <w:p>
      <w:pPr>
        <w:pBdr>
          <w:left w:val="single" w:color="2E75B6" w:sz="12" w:space="8"/>
        </w:pBdr>
        <w:spacing w:after="200" w:before="200" w:line="276"/>
        <w:ind w:left="360"/>
      </w:pPr>
      <w:r>
        <w:rPr>
          <w:rFonts w:ascii="Arial" w:cs="Arial" w:eastAsia="Arial" w:hAnsi="Arial"/>
          <w:i/>
          <w:iCs/>
          <w:color w:val="1B2A4A"/>
          <w:sz w:val="22"/>
          <w:szCs w:val="22"/>
        </w:rPr>
        <w:t xml:space="preserve">Pulse is not a monitoring tool. It is a competitive intelligence advantage that gets smarter about your specific market every week, and cancelling it means going blind while your competitors don’t.</w:t>
      </w:r>
    </w:p>
    <w:p>
      <w:pPr>
        <w:spacing w:after="160" w:before="0" w:line="276"/>
        <w:jc w:val="left"/>
      </w:pPr>
      <w:r>
        <w:rPr>
          <w:rFonts w:ascii="Arial" w:cs="Arial" w:eastAsia="Arial" w:hAnsi="Arial"/>
          <w:b/>
          <w:bCs/>
          <w:color w:val="333333"/>
          <w:sz w:val="22"/>
          <w:szCs w:val="22"/>
        </w:rPr>
        <w:t xml:space="preserve">Price: </w:t>
      </w:r>
      <w:r>
        <w:rPr>
          <w:rFonts w:ascii="Arial" w:cs="Arial" w:eastAsia="Arial" w:hAnsi="Arial"/>
          <w:color w:val="333333"/>
          <w:sz w:val="22"/>
          <w:szCs w:val="22"/>
        </w:rPr>
        <w:t xml:space="preserve">$200/month (approximately INR 16,800/month at current exchange rates). Geo-priced per market.</w:t>
      </w:r>
    </w:p>
    <w:p>
      <w:pPr>
        <w:spacing w:after="160" w:before="0" w:line="276"/>
        <w:jc w:val="left"/>
      </w:pPr>
      <w:r>
        <w:rPr>
          <w:rFonts w:ascii="Arial" w:cs="Arial" w:eastAsia="Arial" w:hAnsi="Arial"/>
          <w:b/>
          <w:bCs/>
          <w:color w:val="333333"/>
          <w:sz w:val="22"/>
          <w:szCs w:val="22"/>
        </w:rPr>
        <w:t xml:space="preserve">Target ROI: </w:t>
      </w:r>
      <w:r>
        <w:rPr>
          <w:rFonts w:ascii="Arial" w:cs="Arial" w:eastAsia="Arial" w:hAnsi="Arial"/>
          <w:color w:val="333333"/>
          <w:sz w:val="22"/>
          <w:szCs w:val="22"/>
        </w:rPr>
        <w:t xml:space="preserve">$1,000+/week in quantified value to the subscriber — a 20x+ monthly return on investment.</w:t>
      </w:r>
    </w:p>
    <w:p>
      <w:pPr>
        <w:spacing w:after="160" w:before="0" w:line="276"/>
        <w:jc w:val="left"/>
      </w:pPr>
      <w:r>
        <w:rPr>
          <w:rFonts w:ascii="Arial" w:cs="Arial" w:eastAsia="Arial" w:hAnsi="Arial"/>
          <w:b/>
          <w:bCs/>
          <w:color w:val="333333"/>
          <w:sz w:val="22"/>
          <w:szCs w:val="22"/>
        </w:rPr>
        <w:t xml:space="preserve">Target market: </w:t>
      </w:r>
      <w:r>
        <w:rPr>
          <w:rFonts w:ascii="Arial" w:cs="Arial" w:eastAsia="Arial" w:hAnsi="Arial"/>
          <w:color w:val="333333"/>
          <w:sz w:val="22"/>
          <w:szCs w:val="22"/>
        </w:rPr>
        <w:t xml:space="preserve">Any business with a physical presence (shop, store, clinic, studio, restaurant) or digital presence. Not limited to F&amp;B.</w:t>
      </w:r>
    </w:p>
    <w:p>
      <w:pPr>
        <w:spacing w:after="160" w:before="0" w:line="276"/>
        <w:jc w:val="left"/>
      </w:pPr>
      <w:r>
        <w:rPr>
          <w:rFonts w:ascii="Arial" w:cs="Arial" w:eastAsia="Arial" w:hAnsi="Arial"/>
          <w:b/>
          <w:bCs/>
          <w:color w:val="333333"/>
          <w:sz w:val="22"/>
          <w:szCs w:val="22"/>
        </w:rPr>
        <w:t xml:space="preserve">Strategic role: </w:t>
      </w:r>
      <w:r>
        <w:rPr>
          <w:rFonts w:ascii="Arial" w:cs="Arial" w:eastAsia="Arial" w:hAnsi="Arial"/>
          <w:color w:val="333333"/>
          <w:sz w:val="22"/>
          <w:szCs w:val="22"/>
        </w:rPr>
        <w:t xml:space="preserve">Recurring revenue engine. Retention moat. Proprietary data flywheel. The platform that makes Viabe.ai non-competeable.</w:t>
      </w:r>
    </w:p>
    <w:p>
      <w:pPr>
        <w:spacing w:after="200" w:before="0" w:line="276"/>
        <w:jc w:val="left"/>
      </w:pPr>
      <w:r>
        <w:rPr>
          <w:rFonts w:ascii="Arial" w:cs="Arial" w:eastAsia="Arial" w:hAnsi="Arial"/>
          <w:b w:val="false"/>
          <w:bCs w:val="false"/>
          <w:i w:val="false"/>
          <w:iCs w:val="false"/>
          <w:color w:val="333333"/>
          <w:sz w:val="22"/>
          <w:szCs w:val="22"/>
        </w:rPr>
        <w:t xml:space="preserve">The fundamental insight: 60% of small business failures trace to information gaps — wrong pricing, missed competitive threats, blind expansion decisions, wasted marketing spend, poor lease negotiations. These are not effort problems. They are intelligence problems. Pulse eliminates them by providing continuous, micro-market-level competitive intelligence that no individual business owner can assemble on their own.</w:t>
      </w:r>
    </w:p>
    <w:p>
      <w:pPr>
        <w:pStyle w:val="Heading1"/>
        <w:spacing w:after="200" w:before="360"/>
      </w:pPr>
      <w:r>
        <w:t xml:space="preserve">2. Strategic Context Within the Viabe Platform</w:t>
      </w:r>
    </w:p>
    <w:p>
      <w:pPr>
        <w:pStyle w:val="Heading2"/>
        <w:spacing w:after="200" w:before="240"/>
      </w:pPr>
      <w:r>
        <w:t xml:space="preserve">2.1 The Three-Layer Platform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00"/>
        <w:gridCol w:w="1600"/>
        <w:gridCol w:w="1600"/>
        <w:gridCol w:w="260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Layer</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Product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Price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Revenue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Strategic Role</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Layer 1: Wedge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Commercial Insight Report</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INR 9,999</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One-time</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Customer acquisition. Proves value. Entry point.</w:t>
            </w:r>
          </w:p>
        </w:tc>
      </w:tr>
      <w:tr>
        <w:tc>
          <w:tcPr>
            <w:tcW w:type="dxa" w:w="156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Layer 2: Moat</w:t>
            </w:r>
          </w:p>
        </w:tc>
        <w:tc>
          <w:tcPr>
            <w:tcW w:type="dxa" w:w="20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Viabe Pulse</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$200/month</w:t>
            </w:r>
          </w:p>
        </w:tc>
        <w:tc>
          <w:tcPr>
            <w:tcW w:type="dxa" w:w="1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 recurring</w:t>
            </w:r>
          </w:p>
        </w:tc>
        <w:tc>
          <w:tcPr>
            <w:tcW w:type="dxa" w:w="26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Retention engine. Data flywheel. Non-competeable moat.</w:t>
            </w:r>
          </w:p>
        </w:tc>
      </w:tr>
      <w:tr>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Layer 3: Endgame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Viabe Risk Index (VRI)</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API licensing</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Per-query fees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"CIBIL for Retail." Institutional standard. Month 18+.</w:t>
            </w:r>
          </w:p>
        </w:tc>
      </w:tr>
    </w:tbl>
    <w:p>
      <w:pPr>
        <w:spacing w:after="120" w:before="0" w:line="276"/>
        <w:jc w:val="left"/>
      </w:pPr>
      <w:r>
        <w:rPr>
          <w:rFonts w:ascii="Arial" w:cs="Arial" w:eastAsia="Arial" w:hAnsi="Arial"/>
          <w:b w:val="false"/>
          <w:bCs w:val="false"/>
          <w:i w:val="false"/>
          <w:iCs w:val="false"/>
          <w:color w:val="333333"/>
          <w:sz w:val="22"/>
          <w:szCs w:val="22"/>
        </w:rPr>
        <w:t xml:space="preserve"/>
      </w:r>
    </w:p>
    <w:p>
      <w:pPr>
        <w:pBdr>
          <w:left w:val="single" w:color="2E75B6" w:sz="12" w:space="8"/>
        </w:pBdr>
        <w:spacing w:after="200" w:before="200" w:line="276"/>
        <w:ind w:left="360"/>
      </w:pPr>
      <w:r>
        <w:rPr>
          <w:rFonts w:ascii="Arial" w:cs="Arial" w:eastAsia="Arial" w:hAnsi="Arial"/>
          <w:i/>
          <w:iCs/>
          <w:color w:val="1B2A4A"/>
          <w:sz w:val="22"/>
          <w:szCs w:val="22"/>
        </w:rPr>
        <w:t xml:space="preserve">The report tells you whether to open. Pulse tells you how to win every week once you’re open. The VRI becomes the industry standard for location viability.</w:t>
      </w:r>
    </w:p>
    <w:p>
      <w:pPr>
        <w:pStyle w:val="Heading2"/>
        <w:spacing w:after="200" w:before="240"/>
      </w:pPr>
      <w:r>
        <w:t xml:space="preserve">2.2 Why Pulse Is the Real Business</w:t>
      </w:r>
    </w:p>
    <w:p>
      <w:pPr>
        <w:spacing w:after="160" w:before="0" w:line="276"/>
        <w:jc w:val="left"/>
      </w:pPr>
      <w:r>
        <w:rPr>
          <w:rFonts w:ascii="Arial" w:cs="Arial" w:eastAsia="Arial" w:hAnsi="Arial"/>
          <w:b w:val="false"/>
          <w:bCs w:val="false"/>
          <w:i w:val="false"/>
          <w:iCs w:val="false"/>
          <w:color w:val="333333"/>
          <w:sz w:val="22"/>
          <w:szCs w:val="22"/>
        </w:rPr>
        <w:t xml:space="preserve">The report is a one-time INR 9,999 transaction. Pulse at $200/month is $2,400/year recurring per subscriber. The addressable market for Pulse is not just new founders who need feasibility reports — it is every existing physical business that needs competitive intelligence. In India alone, there are 50+ lakh existing F&amp;B businesses, 4+ lakh salons, 12,000+ organized gyms, 8+ lakh pharmacies. The subscription opportunity is 100x larger than the report opportunity.</w:t>
      </w:r>
    </w:p>
    <w:p>
      <w:pPr>
        <w:pStyle w:val="Heading2"/>
        <w:spacing w:after="200" w:before="240"/>
      </w:pPr>
      <w:r>
        <w:t xml:space="preserve">2.3 Conversion Path</w:t>
      </w:r>
    </w:p>
    <w:p>
      <w:pPr>
        <w:pStyle w:val="ListParagraph"/>
        <w:numPr>
          <w:ilvl w:val="0"/>
          <w:numId w:val="2"/>
        </w:numPr>
        <w:spacing w:after="80" w:line="276"/>
      </w:pPr>
      <w:r>
        <w:rPr>
          <w:rFonts w:ascii="Arial" w:cs="Arial" w:eastAsia="Arial" w:hAnsi="Arial"/>
          <w:color w:val="333333"/>
          <w:sz w:val="22"/>
          <w:szCs w:val="22"/>
        </w:rPr>
        <w:t xml:space="preserve">Every report buyer receives 30 days of Pulse free upon delivery</w:t>
      </w:r>
    </w:p>
    <w:p>
      <w:pPr>
        <w:pStyle w:val="ListParagraph"/>
        <w:numPr>
          <w:ilvl w:val="0"/>
          <w:numId w:val="2"/>
        </w:numPr>
        <w:spacing w:after="80" w:line="276"/>
      </w:pPr>
      <w:r>
        <w:rPr>
          <w:rFonts w:ascii="Arial" w:cs="Arial" w:eastAsia="Arial" w:hAnsi="Arial"/>
          <w:color w:val="333333"/>
          <w:sz w:val="22"/>
          <w:szCs w:val="22"/>
        </w:rPr>
        <w:t xml:space="preserve">Independent Pulse subscription available for businesses that never purchased a report</w:t>
      </w:r>
    </w:p>
    <w:p>
      <w:pPr>
        <w:pStyle w:val="ListParagraph"/>
        <w:numPr>
          <w:ilvl w:val="0"/>
          <w:numId w:val="2"/>
        </w:numPr>
        <w:spacing w:after="80" w:line="276"/>
      </w:pPr>
      <w:r>
        <w:rPr>
          <w:rFonts w:ascii="Arial" w:cs="Arial" w:eastAsia="Arial" w:hAnsi="Arial"/>
          <w:color w:val="333333"/>
          <w:sz w:val="22"/>
          <w:szCs w:val="22"/>
        </w:rPr>
        <w:t xml:space="preserve">Report-to-Pulse conversion target: 15-20%</w:t>
      </w:r>
    </w:p>
    <w:p>
      <w:pPr>
        <w:pStyle w:val="ListParagraph"/>
        <w:numPr>
          <w:ilvl w:val="0"/>
          <w:numId w:val="2"/>
        </w:numPr>
        <w:spacing w:after="80" w:line="276"/>
      </w:pPr>
      <w:r>
        <w:rPr>
          <w:rFonts w:ascii="Arial" w:cs="Arial" w:eastAsia="Arial" w:hAnsi="Arial"/>
          <w:color w:val="333333"/>
          <w:sz w:val="22"/>
          <w:szCs w:val="22"/>
        </w:rPr>
        <w:t xml:space="preserve">Annual Pulse retention target: 70% (top quartile for Indian SME subscriptions)</w:t>
      </w:r>
    </w:p>
    <w:p>
      <w:pPr>
        <w:pStyle w:val="ListParagraph"/>
        <w:numPr>
          <w:ilvl w:val="0"/>
          <w:numId w:val="2"/>
        </w:numPr>
        <w:spacing w:after="80" w:line="276"/>
      </w:pPr>
      <w:r>
        <w:rPr>
          <w:rFonts w:ascii="Arial" w:cs="Arial" w:eastAsia="Arial" w:hAnsi="Arial"/>
          <w:color w:val="333333"/>
          <w:sz w:val="22"/>
          <w:szCs w:val="22"/>
        </w:rPr>
        <w:t xml:space="preserve">Re-engagement: churned subscribers receive free alerts when risk signals detected in their zone</w:t>
      </w:r>
    </w:p>
    <w:p>
      <w:r>
        <w:br w:type="page"/>
      </w:r>
    </w:p>
    <w:p>
      <w:pPr>
        <w:pStyle w:val="Heading1"/>
        <w:spacing w:after="200" w:before="360"/>
      </w:pPr>
      <w:r>
        <w:t xml:space="preserve">3. The Value Proposition: $1,000/Week in 15 Value Streams</w:t>
      </w:r>
    </w:p>
    <w:p>
      <w:pPr>
        <w:spacing w:after="160" w:before="0" w:line="276"/>
        <w:jc w:val="left"/>
      </w:pPr>
      <w:r>
        <w:rPr>
          <w:rFonts w:ascii="Arial" w:cs="Arial" w:eastAsia="Arial" w:hAnsi="Arial"/>
          <w:b w:val="false"/>
          <w:bCs w:val="false"/>
          <w:i w:val="false"/>
          <w:iCs w:val="false"/>
          <w:color w:val="333333"/>
          <w:sz w:val="22"/>
          <w:szCs w:val="22"/>
        </w:rPr>
        <w:t xml:space="preserve">Pulse delivers value across 15 distinct intelligence streams organized into four categories. Each stream has been evaluated for weekly dollar impact to the business, delivery frequency, strategic value, and our technical achievability. The combined weekly impact ranges from $1,275 to $3,425 — making the $200/month subscription a 25-60x monthly return.</w:t>
      </w:r>
    </w:p>
    <w:p>
      <w:pPr>
        <w:pStyle w:val="Heading2"/>
        <w:spacing w:after="200" w:before="240"/>
      </w:pPr>
      <w:r>
        <w:t xml:space="preserve">3.1 Category A: Revenue &amp; Margin Protection</w:t>
      </w:r>
    </w:p>
    <w:p>
      <w:pPr>
        <w:pStyle w:val="Heading3"/>
        <w:spacing w:after="200" w:before="240"/>
      </w:pPr>
      <w:r>
        <w:t xml:space="preserve">3.1.1 Pricing Optimization Intelligence</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$150–300  |  Frequency: Continuous weekly monitoring  |  Achievability: 7/10</w:t>
      </w:r>
    </w:p>
    <w:p>
      <w:pPr>
        <w:spacing w:after="160" w:before="0" w:line="276"/>
        <w:jc w:val="left"/>
      </w:pPr>
      <w:r>
        <w:rPr>
          <w:rFonts w:ascii="Arial" w:cs="Arial" w:eastAsia="Arial" w:hAnsi="Arial"/>
          <w:b w:val="false"/>
          <w:bCs w:val="false"/>
          <w:i w:val="false"/>
          <w:iCs w:val="false"/>
          <w:color w:val="333333"/>
          <w:sz w:val="22"/>
          <w:szCs w:val="22"/>
        </w:rPr>
        <w:t xml:space="preserve">Most small business owners set prices once and revisit them rarely. They have no systematic way to know what competitors charge, when competitors adjust prices, or whether the market would accept a price increase. A salon charging INR 500 for a haircut when every competitor within 1km charges INR 600-700 is leaving INR 200 per customer on the table. At 15 customers per day, that compounds to INR 90,000 per month in lost revenue.</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Continuous competitive pricing intelligence with specific, quantified recommendations. Not just “competitor X charges Y” but “competitor X raised prices 3 weeks ago and their review volume did not drop — your market can bear a 10-12% increase. Based on your footfall, this translates to approximately INR X additional monthly revenue.”</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Google Maps price_level field (weekly re-scan), Swiggy/Zomato menu pricing (managed scraping via BrightData), competitor review velocity post-price-change (sentiment correlation).</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Google Maps Places API provides price_level in Place Details (Basic SKU). Swiggy/Zomato pricing requires BrightData managed scraping expansion (Month 1-2, $30-50/month). Review velocity is derivable from user_ratings_total delta between weekly scans.</w:t>
      </w:r>
    </w:p>
    <w:p>
      <w:pPr>
        <w:pStyle w:val="Heading3"/>
        <w:spacing w:after="200" w:before="240"/>
      </w:pPr>
      <w:r>
        <w:t xml:space="preserve">3.1.2 Competitor Closure Opportunity Capture</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$200–500  |  Frequency: Opportunistic, 2-4x per year  |  Achievability: 9/10</w:t>
      </w:r>
    </w:p>
    <w:p>
      <w:pPr>
        <w:spacing w:after="160" w:before="0" w:line="276"/>
        <w:jc w:val="left"/>
      </w:pPr>
      <w:r>
        <w:rPr>
          <w:rFonts w:ascii="Arial" w:cs="Arial" w:eastAsia="Arial" w:hAnsi="Arial"/>
          <w:b w:val="false"/>
          <w:bCs w:val="false"/>
          <w:i w:val="false"/>
          <w:iCs w:val="false"/>
          <w:color w:val="333333"/>
          <w:sz w:val="22"/>
          <w:szCs w:val="22"/>
        </w:rPr>
        <w:t xml:space="preserve">When a competitor closes, there is a 2-3 week window where their orphaned customers are forming new habits. The first business to capture them wins them permanently. Most business owners find out about closures weeks or months late, through word of mouth. By then, customers have already found alternatives.</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Early closure detection with a specific capture playbook. “A direct competitor at [address] is showing closure signals (no new reviews in 6 weeks, Google hours removed, business_status changed). Their estimated monthly customer base of X will be looking for alternatives. Here is a 14-day capture playbook: targeted local ads, a welcome promotion, and a Google review push to maximize your visibility during this window.”</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Google Maps business_status field (OPERATIONAL / CLOSED_TEMPORARILY / CLOSED_PERMANENTLY), review velocity collapse (zero new reviews for 4-6 weeks is a leading indicator), opening_hours removal, website going offline.</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Google Maps Places API business_status is available in Nearby Search and Place Details (Basic SKU, no additional cost). Weekly re-scan via n8n cron workflow (already scaffolded in pulse-weekly-rescan.json). Review velocity delta computed from user_ratings_total stored in locality_knowledge table. Available Day 1.</w:t>
      </w:r>
    </w:p>
    <w:p>
      <w:pPr>
        <w:pStyle w:val="Heading3"/>
        <w:spacing w:after="200" w:before="240"/>
      </w:pPr>
      <w:r>
        <w:t xml:space="preserve">3.1.3 Early Customer Churn Prevention</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$200–400  |  Frequency: Continuous, 6-week early warning  |  Achievability: 8/10</w:t>
      </w:r>
    </w:p>
    <w:p>
      <w:pPr>
        <w:spacing w:after="160" w:before="0" w:line="276"/>
        <w:jc w:val="left"/>
      </w:pPr>
      <w:r>
        <w:rPr>
          <w:rFonts w:ascii="Arial" w:cs="Arial" w:eastAsia="Arial" w:hAnsi="Arial"/>
          <w:b w:val="false"/>
          <w:bCs w:val="false"/>
          <w:i w:val="false"/>
          <w:iCs w:val="false"/>
          <w:color w:val="333333"/>
          <w:sz w:val="22"/>
          <w:szCs w:val="22"/>
        </w:rPr>
        <w:t xml:space="preserve">A business does not lose customers in a day. It loses them over 6-8 weeks through a series of small signals: review sentiment shifts negative, a competitor starts a promotion, a new entrant runs an aggressive launch campaign, foot traffic patterns shift. By the time the owner notices revenue is down, the damage is 2-3 months deep.</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Early warning with a specific dollar value attached. “Your Google review sentiment has declined 18% over the past 4 weeks. Businesses in your category that experienced similar declines lost an average of 12-15% revenue within 60 days if unaddressed. Here are the 3 specific complaints driving the decline and recommended actions.”</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Google review rating trajectory (weekly delta), review text sentiment analysis (NLP via Grok), competitor rating convergence (when a competitor’s rating approaches or exceeds yours), new entrant detection (new Google Maps listings in radius).</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Google Maps Places API provides rating and user_ratings_total in Basic SKU. Review text available via Place Details (Atmosphere SKU, additional cost) — limited to 5 most relevant reviews per place. For deeper sentiment analysis, Outscraper or Apify Google Maps Reviews Scraper ($29/month for ~58,000 reviews) provides full review corpus. Grok sentiment analysis already integrated in pipeline (social_sentiment.py). Available Day 1 for rating/count tracking; Month 1-2 for deep sentiment.</w:t>
      </w:r>
    </w:p>
    <w:p>
      <w:pPr>
        <w:pStyle w:val="Heading2"/>
        <w:spacing w:after="200" w:before="240"/>
      </w:pPr>
      <w:r>
        <w:t xml:space="preserve">3.2 Category B: Cost Reduction &amp; Efficiency</w:t>
      </w:r>
    </w:p>
    <w:p>
      <w:pPr>
        <w:pStyle w:val="Heading3"/>
        <w:spacing w:after="200" w:before="240"/>
      </w:pPr>
      <w:r>
        <w:t xml:space="preserve">3.2.1 Rent Negotiation Intelligence</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$50–125 (amortized)  |  Frequency: Annual lease cycle  |  Achievability: 8.5/10</w:t>
      </w:r>
    </w:p>
    <w:p>
      <w:pPr>
        <w:spacing w:after="160" w:before="0" w:line="276"/>
        <w:jc w:val="left"/>
      </w:pPr>
      <w:r>
        <w:rPr>
          <w:rFonts w:ascii="Arial" w:cs="Arial" w:eastAsia="Arial" w:hAnsi="Arial"/>
          <w:b w:val="false"/>
          <w:bCs w:val="false"/>
          <w:i w:val="false"/>
          <w:iCs w:val="false"/>
          <w:color w:val="333333"/>
          <w:sz w:val="22"/>
          <w:szCs w:val="22"/>
        </w:rPr>
        <w:t xml:space="preserve">Commercial lease negotiation is one of the highest-leverage financial decisions a business makes, yet most small business owners walk into renewal conversations without market data. Research consistently shows that tenants who arrive with comparable rent data and vacancy rate information achieve 10-20% better outcomes than those who do not.</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A Rent Negotiation Brief timed to the subscriber’s lease renewal cycle: current market rates for comparable commercial spaces in their micro-market, vacancy rate trends in their zone, recent lease deal benchmarks, and specific negotiation talking points. For a business paying INR 2L/month rent, even a 10% reduction saves INR 2.4L per year.</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99acres commercial rent listings (live scrape via ScrapingBee), historical rent_cache trajectory (accumulated over subscriber tenure), locality vacancy signals (Google Maps business_status tracking of empty storefronts), comparable rent data from rent_data seeded database enriched by live scrapes.</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Rent pipeline fully built: 99acres ScrapingBee scrape (2,450 localities/30 cities) with 7-day rent_cache, LLM web research fallback, seeded rent_data table. Historical trajectory requires 3-6 months of accumulated data per locality. Lease renewal timing requires subscriber-provided metadata at onboarding. Core capability available Day 1; trajectory analysis Month 3+.</w:t>
      </w:r>
    </w:p>
    <w:p>
      <w:pPr>
        <w:pStyle w:val="Heading3"/>
        <w:spacing w:after="200" w:before="240"/>
      </w:pPr>
      <w:r>
        <w:t xml:space="preserve">3.2.2 Ad Spend Optimization</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$75–200  |  Frequency: Monthly recalibration  |  Achievability: 5.5/10</w:t>
      </w:r>
    </w:p>
    <w:p>
      <w:pPr>
        <w:spacing w:after="160" w:before="0" w:line="276"/>
        <w:jc w:val="left"/>
      </w:pPr>
      <w:r>
        <w:rPr>
          <w:rFonts w:ascii="Arial" w:cs="Arial" w:eastAsia="Arial" w:hAnsi="Arial"/>
          <w:b w:val="false"/>
          <w:bCs w:val="false"/>
          <w:i w:val="false"/>
          <w:iCs w:val="false"/>
          <w:color w:val="333333"/>
          <w:sz w:val="22"/>
          <w:szCs w:val="22"/>
        </w:rPr>
        <w:t xml:space="preserve">Research indicates that 37% of ad spend is wasted due to imprecise targeting, with only 57% of small businesses confident they are reaching their target audience. Most small businesses run Google or Meta ads with broad geographic targeting because they lack data about their actual customer catchment.</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Customer catchment analysis derived from micro-market data, demographic profiling, and competitor positioning. “Your optimal customer catchment is 1.2km based on demographic alignment and competitor density. Your current Google Ads target radius of 5km means approximately 70% of impressions reach people unlikely to visit. Tightening to 1.5km at the same budget would increase relevant impressions by an estimated 3x.”</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Micro-location catchment analysis (Google Maps POI density, transit proximity from micro_location_analysis.py), demographic alignment (census data), competitor ad activity (limited — Google Ads Transparency Center is manual, not API-accessible).</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Catchment analysis derivable from existing micro-location tools and census pipeline. Competitor ad intelligence requires new data sources (Google Ads Transparency has no API; SEMrush/SpyFu-level tools are expensive at $100+/month). Recommendations are high-value but harder to verify impact. Basic catchment-based targeting guidance available Day 1; competitive ad intelligence Month 4+.</w:t>
      </w:r>
    </w:p>
    <w:p>
      <w:pPr>
        <w:pStyle w:val="Heading3"/>
        <w:spacing w:after="200" w:before="240"/>
      </w:pPr>
      <w:r>
        <w:t xml:space="preserve">3.2.3 Staff Scheduling Optimization</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$50–100  |  Frequency: Weekly recommendations  |  Achievability: 7.5/10</w:t>
      </w:r>
    </w:p>
    <w:p>
      <w:pPr>
        <w:spacing w:after="160" w:before="0" w:line="276"/>
        <w:jc w:val="left"/>
      </w:pPr>
      <w:r>
        <w:rPr>
          <w:rFonts w:ascii="Arial" w:cs="Arial" w:eastAsia="Arial" w:hAnsi="Arial"/>
          <w:b w:val="false"/>
          <w:bCs w:val="false"/>
          <w:i w:val="false"/>
          <w:iCs w:val="false"/>
          <w:color w:val="333333"/>
          <w:sz w:val="22"/>
          <w:szCs w:val="22"/>
        </w:rPr>
        <w:t xml:space="preserve">Overstaffing during slow hours and understaffing during rush hours directly leaks money. For a business spending $3,000/month on staff, 15-20% optimization yields $450-600/month in savings while simultaneously improving service quality during peak periods.</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Traffic-aligned staffing recommendations. “Your zone shows a 40% traffic drop on Monday afternoons but a spike on Thursday evenings. Comparable businesses that aligned staffing to actual traffic patterns reduced labor costs by 15-20% while maintaining service quality.”</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Google Maps Popular Times (hourly foot traffic proxy), weekly delta tracking via Pulse re-scan, business-type-specific staffing ratio models.</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Google Popular Times data already collected in Phase 1 pipeline via LocationScout. Weekly delta tracking via n8n Pulse re-scan workflow. Staffing ratio models are deterministic and business-type-specific (to be built). Available Month 1 with initial data accumulation.</w:t>
      </w:r>
    </w:p>
    <w:p>
      <w:pPr>
        <w:pStyle w:val="Heading3"/>
        <w:spacing w:after="200" w:before="240"/>
      </w:pPr>
      <w:r>
        <w:t xml:space="preserve">3.2.4 Supplier &amp; Vendor Cost Intelligence</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$25–75  |  Frequency: Quarterly benchmarking  |  Achievability: 3.5/10</w:t>
      </w:r>
    </w:p>
    <w:p>
      <w:pPr>
        <w:spacing w:after="160" w:before="0" w:line="276"/>
        <w:jc w:val="left"/>
      </w:pPr>
      <w:r>
        <w:rPr>
          <w:rFonts w:ascii="Arial" w:cs="Arial" w:eastAsia="Arial" w:hAnsi="Arial"/>
          <w:b w:val="false"/>
          <w:bCs w:val="false"/>
          <w:i w:val="false"/>
          <w:iCs w:val="false"/>
          <w:color w:val="333333"/>
          <w:sz w:val="22"/>
          <w:szCs w:val="22"/>
        </w:rPr>
        <w:t xml:space="preserve">Anonymized cross-subscriber cost benchmarking enables businesses to understand whether they are overpaying for supplies relative to peers. Even a 5-10% supplier cost reduction on INR 1L/month inputs saves INR 5-10K/month.</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Supplier cost benchmarking aggregated across subscriber network. “Your average product cost per service is INR X. The top-quartile businesses in your category achieve INR Y. Here are 3 supplier alternatives that other businesses in your zone have rated highly.”</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Subscriber self-reported data (optional onboarding survey or periodic input). No external data source exists for supplier pricing at this granularity.</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Entirely dependent on subscriber density and willingness to share data. No external API or scraping source exists. Value grows with network — weak at low volume, strong at 500+ subscribers per city. Minimum viable at Month 6+; meaningful at Month 12+.</w:t>
      </w:r>
    </w:p>
    <w:p>
      <w:pPr>
        <w:pStyle w:val="Heading2"/>
        <w:spacing w:after="200" w:before="240"/>
      </w:pPr>
      <w:r>
        <w:t xml:space="preserve">3.3 Category C: Growth &amp; Demand Capture</w:t>
      </w:r>
    </w:p>
    <w:p>
      <w:pPr>
        <w:pStyle w:val="Heading3"/>
        <w:spacing w:after="200" w:before="240"/>
      </w:pPr>
      <w:r>
        <w:t xml:space="preserve">3.3.1 Demand Window Capture</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$200–400  |  Frequency: Event-driven, 8-12x per year  |  Achievability: 6.5/10</w:t>
      </w:r>
    </w:p>
    <w:p>
      <w:pPr>
        <w:spacing w:after="160" w:before="0" w:line="276"/>
        <w:jc w:val="left"/>
      </w:pPr>
      <w:r>
        <w:rPr>
          <w:rFonts w:ascii="Arial" w:cs="Arial" w:eastAsia="Arial" w:hAnsi="Arial"/>
          <w:b w:val="false"/>
          <w:bCs w:val="false"/>
          <w:i w:val="false"/>
          <w:iCs w:val="false"/>
          <w:color w:val="333333"/>
          <w:sz w:val="22"/>
          <w:szCs w:val="22"/>
        </w:rPr>
        <w:t xml:space="preserve">Every locality has predictable and unpredictable demand windows: seasonal patterns (monsoon, Diwali, summer), infrastructure changes (new residential tower, office park, metro station), and competitive shifts (competitor closure, new entrant saturation). Businesses that prepare for these windows capture 2x more revenue than those that react.</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Demand forecasting with playbooks. “Monsoon historically reduces foot traffic in your micro-market by 31%. Businesses that launched delivery partnerships before monsoon retained 70% of revenue. Monsoon starts in approximately 6 weeks. A residential tower with 200 families just received occupancy 400m away — demand spike expected in 60-90 days.”</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Historical foot traffic patterns (Google Popular Times weekly accumulation), festival/seasonal calendar (static dataset), new construction/development signals (Google Maps POI tracking for new residential/commercial listings), competitor entry/exit patterns.</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Festival calendar is static data (available Day 1). Google Popular Times weekly accumulation requires 4-6 months for reliable seasonal baselines. New development detection via Google Maps POI scan is achievable (Month 1-2). Hyper-local event detection (college fests, melas) requires social signal scraping which is harder (Month 3-6).</w:t>
      </w:r>
    </w:p>
    <w:p>
      <w:pPr>
        <w:pStyle w:val="Heading3"/>
        <w:spacing w:after="200" w:before="240"/>
      </w:pPr>
      <w:r>
        <w:t xml:space="preserve">3.3.2 Seasonal Event Revenue Maximization</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$100–400  |  Frequency: Localized, 10-15x per year  |  Achievability: 4/10</w:t>
      </w:r>
    </w:p>
    <w:p>
      <w:pPr>
        <w:spacing w:after="160" w:before="0" w:line="276"/>
        <w:jc w:val="left"/>
      </w:pPr>
      <w:r>
        <w:rPr>
          <w:rFonts w:ascii="Arial" w:cs="Arial" w:eastAsia="Arial" w:hAnsi="Arial"/>
          <w:b w:val="false"/>
          <w:bCs w:val="false"/>
          <w:i w:val="false"/>
          <w:iCs w:val="false"/>
          <w:color w:val="333333"/>
          <w:sz w:val="22"/>
          <w:szCs w:val="22"/>
        </w:rPr>
        <w:t xml:space="preserve">Hyper-local events — temple festivals, college fests, residential society Diwali melas, office park job fairs — create demand spikes invisible to anyone not monitoring local signals. These are not in any generic calendar.</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Event detection and revenue capture playbooks. “A 3-day college fest at [nearby institution] is expected next week based on social signals and historical patterns. Businesses within 500m saw a 35-50% footfall spike last year. Here is a recommended promotional approach.”</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Permit filing monitoring (MCA/GST — Month 6+), geo-tagged social media posts (Instagram/X), event listing scraping, historical foot traffic anomaly detection.</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Government permit APIs are unreliable and non-standardized in India. Social signal scraping requires new infrastructure (Month 3-6). Most signals are future-tier data. Festival-based generic playbooks are achievable now; truly hyper-local event detection is Month 6+.</w:t>
      </w:r>
    </w:p>
    <w:p>
      <w:pPr>
        <w:pStyle w:val="Heading3"/>
        <w:spacing w:after="200" w:before="240"/>
      </w:pPr>
      <w:r>
        <w:t xml:space="preserve">3.3.3 Cash Flow Demand Forecasting</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$100–250  |  Frequency: Monthly, 90-day forward signal  |  Achievability: 5/10</w:t>
      </w:r>
    </w:p>
    <w:p>
      <w:pPr>
        <w:spacing w:after="160" w:before="0" w:line="276"/>
        <w:jc w:val="left"/>
      </w:pPr>
      <w:r>
        <w:rPr>
          <w:rFonts w:ascii="Arial" w:cs="Arial" w:eastAsia="Arial" w:hAnsi="Arial"/>
          <w:b w:val="false"/>
          <w:bCs w:val="false"/>
          <w:i w:val="false"/>
          <w:iCs w:val="false"/>
          <w:color w:val="333333"/>
          <w:sz w:val="22"/>
          <w:szCs w:val="22"/>
        </w:rPr>
        <w:t xml:space="preserve">82% of small businesses that fail cite cash flow problems as a primary reason, and 51% struggle with uneven cash flow. A 6-8 week forward demand signal from micro-market intelligence gives business owners time to adjust — before the cash shortage arrives.</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External demand trajectory analysis (not the business’s internal books). “Based on historical patterns in your micro-market, the next 6 weeks show a 25-30% demand dip. Businesses that pre-positioned with delivery partnerships and targeted promotions during this period retained 60% more revenue.”</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Accumulated foot traffic baselines (Google Popular Times), seasonal demand models, competitor promotional cycle patterns, macroeconomic indicators (festival spending data, monsoon timing).</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Requires 4-6 months of accumulated data per locality to build reliable baselines. Statistical demand models are deterministic once data exists. Accuracy improves with time — weak in first 3 months, reliable by Month 6. Core seasonal patterns can be bootstrapped from census and historical festival data.</w:t>
      </w:r>
    </w:p>
    <w:p>
      <w:pPr>
        <w:pStyle w:val="Heading2"/>
        <w:spacing w:after="200" w:before="240"/>
      </w:pPr>
      <w:r>
        <w:t xml:space="preserve">3.4 Category D: Digital Presence &amp; Reputation</w:t>
      </w:r>
    </w:p>
    <w:p>
      <w:pPr>
        <w:pStyle w:val="Heading3"/>
        <w:spacing w:after="200" w:before="240"/>
      </w:pPr>
      <w:r>
        <w:t xml:space="preserve">3.4.1 Reputation Management Intelligence</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$100–200  |  Frequency: Weekly  |  Achievability: 9/10</w:t>
      </w:r>
    </w:p>
    <w:p>
      <w:pPr>
        <w:spacing w:after="160" w:before="0" w:line="276"/>
        <w:jc w:val="left"/>
      </w:pPr>
      <w:r>
        <w:rPr>
          <w:rFonts w:ascii="Arial" w:cs="Arial" w:eastAsia="Arial" w:hAnsi="Arial"/>
          <w:b w:val="false"/>
          <w:bCs w:val="false"/>
          <w:i w:val="false"/>
          <w:iCs w:val="false"/>
          <w:color w:val="333333"/>
          <w:sz w:val="22"/>
          <w:szCs w:val="22"/>
        </w:rPr>
        <w:t xml:space="preserve">For every 0.1 point drop in Google rating, businesses lose 5-9% of potential customers who are deciding between options. For a business doing INR 8L/month, a 0.3 point rating decline means INR 1.2-2.2L per month in lost potential revenue. Most business owners check reviews occasionally. Nobody systematically tracks their rating trajectory relative to competitors.</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Active reputation management intelligence with AI-drafted review responses. “Your rating is 4.1 and stable, but your nearest competitor rose from 4.0 to 4.3 in 8 weeks through an aggressive review solicitation campaign. If this trend continues, they will overtake you as the top-rated option by approximately [date]. Here are 3 proven strategies to increase your review velocity without violating platform guidelines.” AI-drafted responses to both positive and negative reviews save hours per week.</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Google Maps rating and user_ratings_total (weekly delta), review text sentiment (Grok NLP), competitor rating trajectory comparison, review response rate tracking.</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Google Maps Places API provides rating and user_ratings_total in Basic SKU (no additional cost). Review text available via Atmosphere SKU for 5 most relevant reviews. Grok sentiment analysis already in pipeline stack. AI review response drafting is a straightforward LLM task (Haiku 4.5). Competitor comparison is deterministic. Available Day 1.</w:t>
      </w:r>
    </w:p>
    <w:p>
      <w:pPr>
        <w:pStyle w:val="Heading3"/>
        <w:spacing w:after="200" w:before="240"/>
      </w:pPr>
      <w:r>
        <w:t xml:space="preserve">3.4.2 AI Visibility &amp; Digital Presence Audit</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$50–100  |  Frequency: Monthly audit cycle  |  Achievability: 5/10</w:t>
      </w:r>
    </w:p>
    <w:p>
      <w:pPr>
        <w:spacing w:after="160" w:before="0" w:line="276"/>
        <w:jc w:val="left"/>
      </w:pPr>
      <w:r>
        <w:rPr>
          <w:rFonts w:ascii="Arial" w:cs="Arial" w:eastAsia="Arial" w:hAnsi="Arial"/>
          <w:b w:val="false"/>
          <w:bCs w:val="false"/>
          <w:i w:val="false"/>
          <w:iCs w:val="false"/>
          <w:color w:val="333333"/>
          <w:sz w:val="22"/>
          <w:szCs w:val="22"/>
        </w:rPr>
        <w:t xml:space="preserve">Consumers increasingly discover businesses through AI recommendations — ChatGPT, Google AI overviews, voice assistants. A business with poor structured data, inconsistent pricing, or an unoptimized Google Business Profile is becoming invisible to a growing customer segment without knowing it.</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Monthly Digital Visibility Audit: Google Business Profile completeness score, photo recency vs competitors, review freshness, opening hours accuracy, attribute completeness, local SEO ranking signals. Specific improvement recommendations.</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Google Maps Places API attributes (photos, opening_hours, website, phone), competitor profile completeness comparison, Google search ranking (requires SerpApi or similar).</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Google Maps Places API provides most GMB data fields in Basic and Contact SKUs. Full GMB audit requires Google Business Profile API (OAuth required, limited to businesses the user owns). AI discoverability scoring is experimental with no established measurement methodology. Basic profile audit achievable Day 1; AI visibility scoring is speculative and Month 6+.</w:t>
      </w:r>
    </w:p>
    <w:p>
      <w:pPr>
        <w:pStyle w:val="Heading2"/>
        <w:spacing w:after="200" w:before="240"/>
      </w:pPr>
      <w:r>
        <w:t xml:space="preserve">3.5 Category E: Risk Mitigation &amp; Compliance</w:t>
      </w:r>
    </w:p>
    <w:p>
      <w:pPr>
        <w:pStyle w:val="Heading3"/>
        <w:spacing w:after="200" w:before="240"/>
      </w:pPr>
      <w:r>
        <w:t xml:space="preserve">3.5.1 Competitive Landscape Radar</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$100–200  |  Frequency: Weekly  |  Achievability: 9.5/10</w:t>
      </w:r>
    </w:p>
    <w:p>
      <w:pPr>
        <w:spacing w:after="160" w:before="0" w:line="276"/>
        <w:jc w:val="left"/>
      </w:pPr>
      <w:r>
        <w:rPr>
          <w:rFonts w:ascii="Arial" w:cs="Arial" w:eastAsia="Arial" w:hAnsi="Arial"/>
          <w:b w:val="false"/>
          <w:bCs w:val="false"/>
          <w:i w:val="false"/>
          <w:iCs w:val="false"/>
          <w:color w:val="333333"/>
          <w:sz w:val="22"/>
          <w:szCs w:val="22"/>
        </w:rPr>
        <w:t xml:space="preserve">Core competitive monitoring: new entrants within configurable radius (500m/1km/2km), competitor closures, rating changes, review velocity shifts. This is table stakes for any intelligence platform and the foundation that all other value streams build upon.</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Weekly competitive landscape digest. “2 new businesses detected within 1km this week: [names, categories, locations]. 1 competitor’s rating dropped from 4.2 to 3.9. Your closest competitor by rating gained 47 reviews this month vs your 12.”</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Google Maps Nearby Search (full radius scan), Place Details for top competitors (rating, user_ratings_total, business_status, opening_hours, photos), week-over-week diff computation.</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Google Maps Places API Nearby Search (Essentials tier). Already proven in report pipeline — LocationScout does exactly this. n8n Pulse re-scan workflow already scaffolded. Diff detection is deterministic comparison of stored snapshots in locality_knowledge table. Highest-confidence feature. Available Day 1.</w:t>
      </w:r>
    </w:p>
    <w:p>
      <w:pPr>
        <w:pStyle w:val="Heading3"/>
        <w:spacing w:after="200" w:before="240"/>
      </w:pPr>
      <w:r>
        <w:t xml:space="preserve">3.5.2 Regulatory &amp; Compliance Intelligence</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$25–50 (amortized)  |  Frequency: Penalty avoidance  |  Achievability: 4.5/10</w:t>
      </w:r>
    </w:p>
    <w:p>
      <w:pPr>
        <w:spacing w:after="160" w:before="0" w:line="276"/>
        <w:jc w:val="left"/>
      </w:pPr>
      <w:r>
        <w:rPr>
          <w:rFonts w:ascii="Arial" w:cs="Arial" w:eastAsia="Arial" w:hAnsi="Arial"/>
          <w:b w:val="false"/>
          <w:bCs w:val="false"/>
          <w:i w:val="false"/>
          <w:iCs w:val="false"/>
          <w:color w:val="333333"/>
          <w:sz w:val="22"/>
          <w:szCs w:val="22"/>
        </w:rPr>
        <w:t xml:space="preserve">License expiry reminders (FSSAI, fire safety, shop act, GST), new regulation alerts affecting the business type, and zone-specific compliance changes. Penalty avoidance can be INR 10,000-50,000+ per violation.</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Proactive compliance alerts. “Your FSSAI license expires in 45 days. Renewal applications currently take approximately 30 days in your zone. Start now to avoid a gap. New noise ordinance effective next month affects establishments within 100m of schools — your location is within this zone.”</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Subscriber-provided license dates (onboarding), government gazette regulatory changes, zone-specific ordinance tracking.</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License expiry tracking requires subscriber metadata at onboarding (straightforward). Government gazette scraping is unreliable and non-standardized in India. Generic compliance checklists by business type are buildable. Locality-specific regulatory change detection is hard and requires manual monitoring or news scraping. Basic license reminders Day 1; regulatory intelligence Month 6+.</w:t>
      </w:r>
    </w:p>
    <w:p>
      <w:pPr>
        <w:pStyle w:val="Heading3"/>
        <w:spacing w:after="200" w:before="240"/>
      </w:pPr>
      <w:r>
        <w:t xml:space="preserve">3.5.3 Expansion Readiness &amp; Location Intelligence</w:t>
      </w:r>
    </w:p>
    <w:p>
      <w:pPr>
        <w:spacing w:after="160" w:before="0" w:line="276"/>
        <w:jc w:val="left"/>
      </w:pPr>
      <w:r>
        <w:rPr>
          <w:rFonts w:ascii="Arial" w:cs="Arial" w:eastAsia="Arial" w:hAnsi="Arial"/>
          <w:b/>
          <w:bCs/>
          <w:color w:val="333333"/>
          <w:sz w:val="22"/>
          <w:szCs w:val="22"/>
        </w:rPr>
        <w:t xml:space="preserve">Weekly impact: </w:t>
      </w:r>
      <w:r>
        <w:rPr>
          <w:rFonts w:ascii="Arial" w:cs="Arial" w:eastAsia="Arial" w:hAnsi="Arial"/>
          <w:color w:val="333333"/>
          <w:sz w:val="22"/>
          <w:szCs w:val="22"/>
        </w:rPr>
        <w:t xml:space="preserve">$50–150  |  Frequency: Quarterly strategic assessment  |  Achievability: 7/10</w:t>
      </w:r>
    </w:p>
    <w:p>
      <w:pPr>
        <w:spacing w:after="160" w:before="0" w:line="276"/>
        <w:jc w:val="left"/>
      </w:pPr>
      <w:r>
        <w:rPr>
          <w:rFonts w:ascii="Arial" w:cs="Arial" w:eastAsia="Arial" w:hAnsi="Arial"/>
          <w:b w:val="false"/>
          <w:bCs w:val="false"/>
          <w:i w:val="false"/>
          <w:iCs w:val="false"/>
          <w:color w:val="333333"/>
          <w:sz w:val="22"/>
          <w:szCs w:val="22"/>
        </w:rPr>
        <w:t xml:space="preserve">When a business is ready to expand, the question is not just where but when. A well-timed expansion decision can mean the difference between a profitable second outlet and a catastrophic loss of INR 15-50L.</w:t>
      </w:r>
    </w:p>
    <w:p>
      <w:pPr>
        <w:spacing w:after="160" w:before="0" w:line="276"/>
        <w:jc w:val="left"/>
      </w:pPr>
      <w:r>
        <w:rPr>
          <w:rFonts w:ascii="Arial" w:cs="Arial" w:eastAsia="Arial" w:hAnsi="Arial"/>
          <w:b/>
          <w:bCs/>
          <w:color w:val="333333"/>
          <w:sz w:val="22"/>
          <w:szCs w:val="22"/>
        </w:rPr>
        <w:t xml:space="preserve">What Pulse delivers: </w:t>
      </w:r>
      <w:r>
        <w:rPr>
          <w:rFonts w:ascii="Arial" w:cs="Arial" w:eastAsia="Arial" w:hAnsi="Arial"/>
          <w:color w:val="333333"/>
          <w:sz w:val="22"/>
          <w:szCs w:val="22"/>
        </w:rPr>
        <w:t xml:space="preserve">Quarterly expansion readiness assessment. “Your current location’s VRI has been climbing for 3 consecutive quarters. Your competitive position is strong. However, two new entrants are in pre-launch (permit filings detected). Historical pattern: markets with 3+ new entrants in 90 days see incumbent revenue pressure. Recommendation: if expanding, consider these 3 localities based on our intelligence.”</w:t>
      </w:r>
    </w:p>
    <w:p>
      <w:pPr>
        <w:spacing w:after="160" w:before="0" w:line="276"/>
        <w:jc w:val="left"/>
      </w:pPr>
      <w:r>
        <w:rPr>
          <w:rFonts w:ascii="Arial" w:cs="Arial" w:eastAsia="Arial" w:hAnsi="Arial"/>
          <w:b/>
          <w:bCs/>
          <w:color w:val="333333"/>
          <w:sz w:val="22"/>
          <w:szCs w:val="22"/>
        </w:rPr>
        <w:t xml:space="preserve">Data signals: </w:t>
      </w:r>
      <w:r>
        <w:rPr>
          <w:rFonts w:ascii="Arial" w:cs="Arial" w:eastAsia="Arial" w:hAnsi="Arial"/>
          <w:color w:val="333333"/>
          <w:sz w:val="22"/>
          <w:szCs w:val="22"/>
        </w:rPr>
        <w:t xml:space="preserve">VRI trajectory from locality_knowledge, competitor entry/exit velocity, rent trend analysis, demographic growth signals. Expansion analysis reuses the core report pipeline in lightweight mode.</w:t>
      </w:r>
    </w:p>
    <w:p>
      <w:pPr>
        <w:spacing w:after="160" w:before="0" w:line="276"/>
        <w:jc w:val="left"/>
      </w:pPr>
      <w:r>
        <w:rPr>
          <w:rFonts w:ascii="Arial" w:cs="Arial" w:eastAsia="Arial" w:hAnsi="Arial"/>
          <w:b/>
          <w:bCs/>
          <w:color w:val="333333"/>
          <w:sz w:val="22"/>
          <w:szCs w:val="22"/>
        </w:rPr>
        <w:t xml:space="preserve">Data source &amp; availability: </w:t>
      </w:r>
      <w:r>
        <w:rPr>
          <w:rFonts w:ascii="Arial" w:cs="Arial" w:eastAsia="Arial" w:hAnsi="Arial"/>
          <w:color w:val="333333"/>
          <w:sz w:val="22"/>
          <w:szCs w:val="22"/>
        </w:rPr>
        <w:t xml:space="preserve">Core pipeline already generates location intelligence for any locality. Lightweight re-run for expansion analysis is architecturally straightforward — same CrewAI factory, reduced scope, lower cost. Needs Pulse-specific prompt templates and a lighter output format. Available Month 2+ after pipeline stabilization.</w:t>
      </w:r>
    </w:p>
    <w:p>
      <w:r>
        <w:br w:type="page"/>
      </w:r>
    </w:p>
    <w:p>
      <w:pPr>
        <w:pStyle w:val="Heading1"/>
        <w:spacing w:after="200" w:before="360"/>
      </w:pPr>
      <w:r>
        <w:t xml:space="preserve">4. Value Stream Scorecard</w:t>
      </w:r>
    </w:p>
    <w:p>
      <w:pPr>
        <w:spacing w:after="160" w:before="0" w:line="276"/>
        <w:jc w:val="left"/>
      </w:pPr>
      <w:r>
        <w:rPr>
          <w:rFonts w:ascii="Arial" w:cs="Arial" w:eastAsia="Arial" w:hAnsi="Arial"/>
          <w:b w:val="false"/>
          <w:bCs w:val="false"/>
          <w:i w:val="false"/>
          <w:iCs w:val="false"/>
          <w:color w:val="333333"/>
          <w:sz w:val="22"/>
          <w:szCs w:val="22"/>
        </w:rPr>
        <w:t xml:space="preserve">Each value stream is scored across four dimensions: Weekly Dollar Impact (30% weight), Frequency/Consistency (20%), Strategic Value beyond dollars (20%), and Achievability against our current tech stack (30%). Achievability is weighted heavily because a feature delivering $500/week that we cannot build reliably is worth less than one delivering $150/week that we nail every time.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
        <w:gridCol w:w="2700"/>
        <w:gridCol w:w="1200"/>
        <w:gridCol w:w="1200"/>
        <w:gridCol w:w="900"/>
        <w:gridCol w:w="900"/>
        <w:gridCol w:w="900"/>
        <w:gridCol w:w="1200"/>
      </w:tblGrid>
      <w:tr>
        <w:tc>
          <w:tcPr>
            <w:tcW w:type="dxa" w:w="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t>
            </w:r>
          </w:p>
        </w:tc>
        <w:tc>
          <w:tcPr>
            <w:tcW w:type="dxa" w:w="27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Value Stream</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$/Week</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Achv.</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Score</w:t>
            </w:r>
          </w:p>
        </w:tc>
        <w:tc>
          <w:tcPr>
            <w:tcW w:type="dxa" w:w="9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Phase</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Category</w:t>
            </w:r>
          </w:p>
        </w:tc>
      </w:tr>
      <w:tr>
        <w:tc>
          <w:tcPr>
            <w:gridSpan w:val="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2A4A"/>
                <w:sz w:val="20"/>
                <w:szCs w:val="20"/>
              </w:rPr>
              <w:t xml:space="preserve">Revenue &amp; Margin Protection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Competitor closure capture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$200-500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2-4x/yr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95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t>
            </w:r>
          </w:p>
        </w:tc>
      </w:tr>
      <w:tr>
        <w:tc>
          <w:tcPr>
            <w:tcW w:type="dxa" w:w="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w:t>
            </w:r>
          </w:p>
        </w:tc>
        <w:tc>
          <w:tcPr>
            <w:tcW w:type="dxa" w:w="2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Early churn prevention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$200-400</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Continuous</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93</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Pricing optimization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$150-300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92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t>
            </w:r>
          </w:p>
        </w:tc>
      </w:tr>
      <w:tr>
        <w:tc>
          <w:tcPr>
            <w:gridSpan w:val="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2A4A"/>
                <w:sz w:val="20"/>
                <w:szCs w:val="20"/>
              </w:rPr>
              <w:t xml:space="preserve">Cost Reduction &amp; Efficiency</w:t>
            </w:r>
          </w:p>
        </w:tc>
      </w:tr>
      <w:tr>
        <w:tc>
          <w:tcPr>
            <w:tcW w:type="dxa" w:w="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2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Rent negotiation intelligence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$50-125</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Annual</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8.5</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91</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Staff scheduling optimization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82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w:t>
            </w:r>
          </w:p>
        </w:tc>
      </w:tr>
      <w:tr>
        <w:tc>
          <w:tcPr>
            <w:tcW w:type="dxa" w:w="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w:t>
            </w:r>
          </w:p>
        </w:tc>
        <w:tc>
          <w:tcPr>
            <w:tcW w:type="dxa" w:w="2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Ad spend optimization</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$75-200</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5.5</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74</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2+</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Supplier cost intelligence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$25-75</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Quarterly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E74C3C"/>
                <w:sz w:val="20"/>
                <w:szCs w:val="20"/>
              </w:rPr>
              <w:t xml:space="preserve">52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w:t>
            </w:r>
          </w:p>
        </w:tc>
      </w:tr>
      <w:tr>
        <w:tc>
          <w:tcPr>
            <w:gridSpan w:val="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2A4A"/>
                <w:sz w:val="20"/>
                <w:szCs w:val="20"/>
              </w:rPr>
              <w:t xml:space="preserve">Growth &amp; Demand Capture</w:t>
            </w:r>
          </w:p>
        </w:tc>
      </w:tr>
      <w:tr>
        <w:tc>
          <w:tcPr>
            <w:tcW w:type="dxa" w:w="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w:t>
            </w:r>
          </w:p>
        </w:tc>
        <w:tc>
          <w:tcPr>
            <w:tcW w:type="dxa" w:w="2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Demand window capture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$200-400</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8-12x/yr</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85</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2</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Expansion readiness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Quarterly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2+</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w:t>
            </w:r>
          </w:p>
        </w:tc>
      </w:tr>
      <w:tr>
        <w:tc>
          <w:tcPr>
            <w:tcW w:type="dxa" w:w="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w:t>
            </w:r>
          </w:p>
        </w:tc>
        <w:tc>
          <w:tcPr>
            <w:tcW w:type="dxa" w:w="2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Cash flow demand forecasting</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$100-250</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72</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4+</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11</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Seasonal event maximization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$100-400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10-15x/yr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6+</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w:t>
            </w:r>
          </w:p>
        </w:tc>
      </w:tr>
      <w:tr>
        <w:tc>
          <w:tcPr>
            <w:gridSpan w:val="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2A4A"/>
                <w:sz w:val="20"/>
                <w:szCs w:val="20"/>
              </w:rPr>
              <w:t xml:space="preserve">Digital Presence &amp; Reputation</w:t>
            </w:r>
          </w:p>
        </w:tc>
      </w:tr>
      <w:tr>
        <w:tc>
          <w:tcPr>
            <w:tcW w:type="dxa" w:w="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12</w:t>
            </w:r>
          </w:p>
        </w:tc>
        <w:tc>
          <w:tcPr>
            <w:tcW w:type="dxa" w:w="2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Reputation management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$100-200</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90</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13</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Competitive landscape radar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$100-200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27AE60"/>
                <w:sz w:val="20"/>
                <w:szCs w:val="20"/>
              </w:rPr>
              <w:t xml:space="preserve">89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w:t>
            </w:r>
          </w:p>
        </w:tc>
      </w:tr>
      <w:tr>
        <w:tc>
          <w:tcPr>
            <w:tcW w:type="dxa" w:w="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14</w:t>
            </w:r>
          </w:p>
        </w:tc>
        <w:tc>
          <w:tcPr>
            <w:tcW w:type="dxa" w:w="27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AI visibility &amp; digital audit</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$50-100</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65</w:t>
            </w:r>
          </w:p>
        </w:tc>
        <w:tc>
          <w:tcPr>
            <w:tcW w:type="dxa" w:w="9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w:t>
            </w:r>
          </w:p>
        </w:tc>
      </w:tr>
      <w:tr>
        <w:tc>
          <w:tcPr>
            <w:gridSpan w:val="8"/>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tcPr>
          <w:p>
            <w:pPr>
              <w:jc w:val="left"/>
            </w:pPr>
            <w:r>
              <w:rPr>
                <w:rFonts w:ascii="Arial" w:cs="Arial" w:eastAsia="Arial" w:hAnsi="Arial"/>
                <w:b/>
                <w:bCs/>
                <w:color w:val="1B2A4A"/>
                <w:sz w:val="20"/>
                <w:szCs w:val="20"/>
              </w:rPr>
              <w:t xml:space="preserve">Risk Mitigation</w:t>
            </w:r>
          </w:p>
        </w:tc>
      </w:tr>
      <w:tr>
        <w:tc>
          <w:tcPr>
            <w:tcW w:type="dxa" w:w="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Regulatory compliance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$25-50</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Amortized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4.5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58</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w:t>
            </w:r>
          </w:p>
        </w:tc>
      </w:tr>
    </w:tbl>
    <w:p>
      <w:pPr>
        <w:spacing w:after="80" w:before="0" w:line="276"/>
        <w:jc w:val="left"/>
      </w:pPr>
      <w:r>
        <w:rPr>
          <w:rFonts w:ascii="Arial" w:cs="Arial" w:eastAsia="Arial" w:hAnsi="Arial"/>
          <w:b w:val="false"/>
          <w:bCs w:val="false"/>
          <w:i w:val="false"/>
          <w:iCs w:val="false"/>
          <w:color w:val="333333"/>
          <w:sz w:val="22"/>
          <w:szCs w:val="22"/>
        </w:rPr>
        <w:t xml:space="preserve"/>
      </w:r>
    </w:p>
    <w:p>
      <w:pPr>
        <w:spacing w:after="160" w:before="0" w:line="276"/>
        <w:jc w:val="left"/>
      </w:pPr>
      <w:r>
        <w:rPr>
          <w:rFonts w:ascii="Arial" w:cs="Arial" w:eastAsia="Arial" w:hAnsi="Arial"/>
          <w:b/>
          <w:bCs/>
          <w:color w:val="333333"/>
          <w:sz w:val="22"/>
          <w:szCs w:val="22"/>
        </w:rPr>
        <w:t xml:space="preserve">Phase A (Day 1 launch): </w:t>
      </w:r>
      <w:r>
        <w:rPr>
          <w:rFonts w:ascii="Arial" w:cs="Arial" w:eastAsia="Arial" w:hAnsi="Arial"/>
          <w:color w:val="333333"/>
          <w:sz w:val="22"/>
          <w:szCs w:val="22"/>
        </w:rPr>
        <w:t xml:space="preserve">6 streams scoring 85+ — Closure capture, Churn prevention, Reputation mgmt, Competitive radar, Rent negotiation, Pricing optimization. Combined weekly impact: $800-1,725.</w:t>
      </w:r>
    </w:p>
    <w:p>
      <w:pPr>
        <w:spacing w:after="160" w:before="0" w:line="276"/>
        <w:jc w:val="left"/>
      </w:pPr>
      <w:r>
        <w:rPr>
          <w:rFonts w:ascii="Arial" w:cs="Arial" w:eastAsia="Arial" w:hAnsi="Arial"/>
          <w:b/>
          <w:bCs/>
          <w:color w:val="333333"/>
          <w:sz w:val="22"/>
          <w:szCs w:val="22"/>
        </w:rPr>
        <w:t xml:space="preserve">Phase B (Month 1-4): </w:t>
      </w:r>
      <w:r>
        <w:rPr>
          <w:rFonts w:ascii="Arial" w:cs="Arial" w:eastAsia="Arial" w:hAnsi="Arial"/>
          <w:color w:val="333333"/>
          <w:sz w:val="22"/>
          <w:szCs w:val="22"/>
        </w:rPr>
        <w:t xml:space="preserve">5 streams — Staff scheduling, Ad spend, Demand windows, Expansion readiness, Cash flow forecasting. Combined additional: $475-1,100/week.</w:t>
      </w:r>
    </w:p>
    <w:p>
      <w:pPr>
        <w:spacing w:after="160" w:before="0" w:line="276"/>
        <w:jc w:val="left"/>
      </w:pPr>
      <w:r>
        <w:rPr>
          <w:rFonts w:ascii="Arial" w:cs="Arial" w:eastAsia="Arial" w:hAnsi="Arial"/>
          <w:b/>
          <w:bCs/>
          <w:color w:val="333333"/>
          <w:sz w:val="22"/>
          <w:szCs w:val="22"/>
        </w:rPr>
        <w:t xml:space="preserve">Phase C (Month 6+): </w:t>
      </w:r>
      <w:r>
        <w:rPr>
          <w:rFonts w:ascii="Arial" w:cs="Arial" w:eastAsia="Arial" w:hAnsi="Arial"/>
          <w:color w:val="333333"/>
          <w:sz w:val="22"/>
          <w:szCs w:val="22"/>
        </w:rPr>
        <w:t xml:space="preserve">4 streams — Supplier intelligence, Seasonal events, AI visibility, Regulatory compliance. Combined additional: $200-625/week.</w:t>
      </w:r>
    </w:p>
    <w:p>
      <w:r>
        <w:br w:type="page"/>
      </w:r>
    </w:p>
    <w:p>
      <w:pPr>
        <w:pStyle w:val="Heading1"/>
        <w:spacing w:after="200" w:before="360"/>
      </w:pPr>
      <w:r>
        <w:t xml:space="preserve">5. The Moat: Why Pulse Becomes Non-Competeable</w:t>
      </w:r>
    </w:p>
    <w:p>
      <w:pPr>
        <w:pStyle w:val="Heading2"/>
        <w:spacing w:after="200" w:before="240"/>
      </w:pPr>
      <w:r>
        <w:t xml:space="preserve">5.1 The Data Flywheel</w:t>
      </w:r>
    </w:p>
    <w:p>
      <w:pPr>
        <w:spacing w:after="160" w:before="0" w:line="276"/>
        <w:jc w:val="left"/>
      </w:pPr>
      <w:r>
        <w:rPr>
          <w:rFonts w:ascii="Arial" w:cs="Arial" w:eastAsia="Arial" w:hAnsi="Arial"/>
          <w:b w:val="false"/>
          <w:bCs w:val="false"/>
          <w:i w:val="false"/>
          <w:iCs w:val="false"/>
          <w:color w:val="333333"/>
          <w:sz w:val="22"/>
          <w:szCs w:val="22"/>
        </w:rPr>
        <w:t xml:space="preserve">Every Pulse subscriber generates intelligence that makes every other subscriber’s Pulse smarter. Competitor movements, pricing shifts, review patterns, seasonal demand, closure signals — all feed back into the intelligence layer. A gym in Andheri and a salon in Andheri do not compete, but they share a micro-market. When the gym detects a foot traffic shift, that signal is valuable for the salon. When the salon detects a new residential development, the pharmacy down the street benefits.</w:t>
      </w:r>
    </w:p>
    <w:p>
      <w:pPr>
        <w:spacing w:after="160" w:before="0" w:line="276"/>
        <w:jc w:val="left"/>
      </w:pPr>
      <w:r>
        <w:rPr>
          <w:rFonts w:ascii="Arial" w:cs="Arial" w:eastAsia="Arial" w:hAnsi="Arial"/>
          <w:b w:val="false"/>
          <w:bCs w:val="false"/>
          <w:i w:val="false"/>
          <w:iCs w:val="false"/>
          <w:color w:val="333333"/>
          <w:sz w:val="22"/>
          <w:szCs w:val="22"/>
        </w:rPr>
        <w:t xml:space="preserve">After 1,000 subscribers across a city, Pulse has a living economic map of that city’s commercial micro-markets at a granularity that nobody else possesses. Not Google (they have raw data but do not synthesize it for business operators). Not Zomato or Swiggy (they only see their own platform’s slice). Not consulting firms (they do one-off analyses, not continuous monitoring). Not government data (too slow, too aggregated).</w:t>
      </w:r>
    </w:p>
    <w:p>
      <w:pPr>
        <w:pStyle w:val="Heading2"/>
        <w:spacing w:after="200" w:before="240"/>
      </w:pPr>
      <w:r>
        <w:t xml:space="preserve">5.2 The Knowledge Graph Compounds</w:t>
      </w:r>
    </w:p>
    <w:p>
      <w:pPr>
        <w:spacing w:after="160" w:before="0" w:line="276"/>
        <w:jc w:val="left"/>
      </w:pPr>
      <w:r>
        <w:rPr>
          <w:rFonts w:ascii="Arial" w:cs="Arial" w:eastAsia="Arial" w:hAnsi="Arial"/>
          <w:b w:val="false"/>
          <w:bCs w:val="false"/>
          <w:i w:val="false"/>
          <w:iCs w:val="false"/>
          <w:color w:val="333333"/>
          <w:sz w:val="22"/>
          <w:szCs w:val="22"/>
        </w:rPr>
        <w:t xml:space="preserve">The locality_knowledge table already tracks VRI history, rent trends, competitor counts, footfall estimates, and QC scores per locality. With Pulse, this becomes a living map of every micro-market in every city we operate in. After 12 months with 500 subscribers across Mumbai, Viabe will know more about the competitive dynamics of Mumbai commercial markets than any consulting firm, any data provider, any individual operator. That knowledge is our moat.</w:t>
      </w:r>
    </w:p>
    <w:p>
      <w:pPr>
        <w:pStyle w:val="Heading2"/>
        <w:spacing w:after="200" w:before="240"/>
      </w:pPr>
      <w:r>
        <w:t xml:space="preserve">5.3 Switching Cost Is Intelligence History</w:t>
      </w:r>
    </w:p>
    <w:p>
      <w:pPr>
        <w:spacing w:after="160" w:before="0" w:line="276"/>
        <w:jc w:val="left"/>
      </w:pPr>
      <w:r>
        <w:rPr>
          <w:rFonts w:ascii="Arial" w:cs="Arial" w:eastAsia="Arial" w:hAnsi="Arial"/>
          <w:b w:val="false"/>
          <w:bCs w:val="false"/>
          <w:i w:val="false"/>
          <w:iCs w:val="false"/>
          <w:color w:val="333333"/>
          <w:sz w:val="22"/>
          <w:szCs w:val="22"/>
        </w:rPr>
        <w:t xml:space="preserve">A subscriber who has been with Pulse for a year has 52 weeks of trend data, seasonal pattern recognition calibrated to their specific location, and an AI that has accumulated intelligence about their micro-market. Moving to a competitor means starting from zero. There is no export, not because we lock data in, but because the intelligence is synthesized and contextual — it does not transfer as a CSV.</w:t>
      </w:r>
    </w:p>
    <w:p>
      <w:pPr>
        <w:pStyle w:val="Heading2"/>
        <w:spacing w:after="200" w:before="240"/>
      </w:pPr>
      <w:r>
        <w:t xml:space="preserve">5.4 The Dependency Equation</w:t>
      </w:r>
    </w:p>
    <w:p>
      <w:pPr>
        <w:pBdr>
          <w:left w:val="single" w:color="2E75B6" w:sz="12" w:space="8"/>
        </w:pBdr>
        <w:spacing w:after="200" w:before="200" w:line="276"/>
        <w:ind w:left="360"/>
      </w:pPr>
      <w:r>
        <w:rPr>
          <w:rFonts w:ascii="Arial" w:cs="Arial" w:eastAsia="Arial" w:hAnsi="Arial"/>
          <w:i/>
          <w:iCs/>
          <w:color w:val="1B2A4A"/>
          <w:sz w:val="22"/>
          <w:szCs w:val="22"/>
        </w:rPr>
        <w:t xml:space="preserve">If I cancel Pulse, I lose: my competitive pricing intelligence, my 6-week early warning system, my rent negotiation data, my trend history for my specific micro-market, my reputation trajectory analysis, and my connection to the intelligence network. And my competitor across the street who keeps Pulse sees everything I just lost visibility on.</w:t>
      </w:r>
    </w:p>
    <w:p>
      <w:pPr>
        <w:spacing w:after="160" w:before="0" w:line="276"/>
        <w:jc w:val="left"/>
      </w:pPr>
      <w:r>
        <w:rPr>
          <w:rFonts w:ascii="Arial" w:cs="Arial" w:eastAsia="Arial" w:hAnsi="Arial"/>
          <w:b w:val="false"/>
          <w:bCs w:val="false"/>
          <w:i w:val="false"/>
          <w:iCs w:val="false"/>
          <w:color w:val="333333"/>
          <w:sz w:val="22"/>
          <w:szCs w:val="22"/>
        </w:rPr>
        <w:t xml:space="preserve">This is not manufactured FOMO. This is competitive asymmetry. And it is worth far more than $200/month.</w:t>
      </w:r>
    </w:p>
    <w:p>
      <w:pPr>
        <w:pStyle w:val="Heading1"/>
        <w:spacing w:after="200" w:before="360"/>
      </w:pPr>
      <w:r>
        <w:t xml:space="preserve">6. Technical Architecture</w:t>
      </w:r>
    </w:p>
    <w:p>
      <w:pPr>
        <w:pStyle w:val="Heading2"/>
        <w:spacing w:after="200" w:before="240"/>
      </w:pPr>
      <w:r>
        <w:t xml:space="preserve">6.1 Data Collection 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560"/>
        <w:gridCol w:w="1200"/>
        <w:gridCol w:w="1200"/>
        <w:gridCol w:w="160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Data Signal</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Source</w:t>
            </w:r>
          </w:p>
        </w:tc>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API/Method</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Cost</w:t>
            </w:r>
          </w:p>
        </w:tc>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Frequency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Availability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Competitor list + business_status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Places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Nearby Search (Basic)</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$0.032/call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Rating + review count</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Places API</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 Details (Basic)</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$0.017/call</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Review text (5 per place)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Places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 Details (Atmosphere)</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$0.025/call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review corpus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Outscraper / Apify</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Scraping API</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$29/month</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1-2</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Popular Times (foot traffic)</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Places API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 Details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Price level</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Places API</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Place Details (Basic)</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Included</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Menu/delivery pricing</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Swiggy/Zomato</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BrightData scraping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$30-50/mo</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Bi-weekly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1-2</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Commercial rent data</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99acres via ScrapingBee</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Managed scraping</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$30-50/mo</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 (built)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Sentiment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Grok (xAI)</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xAI API + x_search</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~INR 8/run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 (built)</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Demographics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Census + ward data</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Supabase census_data</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Free (seeded)</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Static</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Day 1 (built)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Social signals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Instagram/X geo-tagged</w:t>
            </w:r>
          </w:p>
        </w:tc>
        <w:tc>
          <w:tcPr>
            <w:tcW w:type="dxa" w:w="15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Grok + scraping</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TBD</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3-6</w:t>
            </w:r>
          </w:p>
        </w:tc>
      </w:tr>
      <w:tr>
        <w:tc>
          <w:tcPr>
            <w:tcW w:type="dxa" w:w="18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Permit/GST filings</w:t>
            </w:r>
          </w:p>
        </w:tc>
        <w:tc>
          <w:tcPr>
            <w:tcW w:type="dxa" w:w="2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MCA/GST portals</w:t>
            </w:r>
          </w:p>
        </w:tc>
        <w:tc>
          <w:tcPr>
            <w:tcW w:type="dxa" w:w="15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Scraping (unreliable)</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TBD</w:t>
            </w:r>
          </w:p>
        </w:tc>
        <w:tc>
          <w:tcPr>
            <w:tcW w:type="dxa" w:w="12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Monthly</w:t>
            </w:r>
          </w:p>
        </w:tc>
        <w:tc>
          <w:tcPr>
            <w:tcW w:type="dxa" w:w="16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Month 6+</w:t>
            </w:r>
          </w:p>
        </w:tc>
      </w:tr>
    </w:tbl>
    <w:p>
      <w:pPr>
        <w:spacing w:after="120" w:before="0" w:line="276"/>
        <w:jc w:val="left"/>
      </w:pPr>
      <w:r>
        <w:rPr>
          <w:rFonts w:ascii="Arial" w:cs="Arial" w:eastAsia="Arial" w:hAnsi="Arial"/>
          <w:b w:val="false"/>
          <w:bCs w:val="false"/>
          <w:i w:val="false"/>
          <w:iCs w:val="false"/>
          <w:color w:val="333333"/>
          <w:sz w:val="22"/>
          <w:szCs w:val="22"/>
        </w:rPr>
        <w:t xml:space="preserve"/>
      </w:r>
    </w:p>
    <w:p>
      <w:pPr>
        <w:pStyle w:val="Heading2"/>
        <w:spacing w:after="200" w:before="240"/>
      </w:pPr>
      <w:r>
        <w:t xml:space="preserve">6.2 Processing &amp; Intelligence Layer</w:t>
      </w:r>
    </w:p>
    <w:p>
      <w:pPr>
        <w:pStyle w:val="ListParagraph"/>
        <w:numPr>
          <w:ilvl w:val="0"/>
          <w:numId w:val="2"/>
        </w:numPr>
        <w:spacing w:after="80" w:line="276"/>
      </w:pPr>
      <w:r>
        <w:rPr>
          <w:rFonts w:ascii="Arial" w:cs="Arial" w:eastAsia="Arial" w:hAnsi="Arial"/>
          <w:color w:val="333333"/>
          <w:sz w:val="22"/>
          <w:szCs w:val="22"/>
        </w:rPr>
        <w:t xml:space="preserve">Weekly re-scan engine: n8n cron workflow (pulse-weekly-rescan.json, already scaffolded) triggers Google Maps API re-scan for each subscriber’s location radius</w:t>
      </w:r>
    </w:p>
    <w:p>
      <w:pPr>
        <w:pStyle w:val="ListParagraph"/>
        <w:numPr>
          <w:ilvl w:val="0"/>
          <w:numId w:val="2"/>
        </w:numPr>
        <w:spacing w:after="80" w:line="276"/>
      </w:pPr>
      <w:r>
        <w:rPr>
          <w:rFonts w:ascii="Arial" w:cs="Arial" w:eastAsia="Arial" w:hAnsi="Arial"/>
          <w:color w:val="333333"/>
          <w:sz w:val="22"/>
          <w:szCs w:val="22"/>
        </w:rPr>
        <w:t xml:space="preserve">Diff computation: Deterministic comparison of current scan vs stored snapshot in locality_knowledge and a new pulse_snapshots table</w:t>
      </w:r>
    </w:p>
    <w:p>
      <w:pPr>
        <w:pStyle w:val="ListParagraph"/>
        <w:numPr>
          <w:ilvl w:val="0"/>
          <w:numId w:val="2"/>
        </w:numPr>
        <w:spacing w:after="80" w:line="276"/>
      </w:pPr>
      <w:r>
        <w:rPr>
          <w:rFonts w:ascii="Arial" w:cs="Arial" w:eastAsia="Arial" w:hAnsi="Arial"/>
          <w:color w:val="333333"/>
          <w:sz w:val="22"/>
          <w:szCs w:val="22"/>
        </w:rPr>
        <w:t xml:space="preserve">Intelligence synthesis: Haiku 4.5 LLM for contextualizing changes into actionable insights (same architecture as Report Director reasoning calls, ~2,500 tokens per synthesis)</w:t>
      </w:r>
    </w:p>
    <w:p>
      <w:pPr>
        <w:pStyle w:val="ListParagraph"/>
        <w:numPr>
          <w:ilvl w:val="0"/>
          <w:numId w:val="2"/>
        </w:numPr>
        <w:spacing w:after="80" w:line="276"/>
      </w:pPr>
      <w:r>
        <w:rPr>
          <w:rFonts w:ascii="Arial" w:cs="Arial" w:eastAsia="Arial" w:hAnsi="Arial"/>
          <w:color w:val="333333"/>
          <w:sz w:val="22"/>
          <w:szCs w:val="22"/>
        </w:rPr>
        <w:t xml:space="preserve">Alert classification: Deterministic priority scoring (Critical: competitor closure, rating drop &gt;0.2, new direct competitor / High: pricing shift, review velocity anomaly / Normal: minor rating changes, seasonal reminders)</w:t>
      </w:r>
    </w:p>
    <w:p>
      <w:pPr>
        <w:pStyle w:val="ListParagraph"/>
        <w:numPr>
          <w:ilvl w:val="0"/>
          <w:numId w:val="2"/>
        </w:numPr>
        <w:spacing w:after="80" w:line="276"/>
      </w:pPr>
      <w:r>
        <w:rPr>
          <w:rFonts w:ascii="Arial" w:cs="Arial" w:eastAsia="Arial" w:hAnsi="Arial"/>
          <w:color w:val="333333"/>
          <w:sz w:val="22"/>
          <w:szCs w:val="22"/>
        </w:rPr>
        <w:t xml:space="preserve">Playbook generation: Template-based + LLM-enriched action recommendations specific to business type, location, and competitive context</w:t>
      </w:r>
    </w:p>
    <w:p>
      <w:pPr>
        <w:pStyle w:val="Heading2"/>
        <w:spacing w:after="200" w:before="240"/>
      </w:pPr>
      <w:r>
        <w:t xml:space="preserve">6.3 Delivery Layer</w:t>
      </w:r>
    </w:p>
    <w:p>
      <w:pPr>
        <w:pStyle w:val="ListParagraph"/>
        <w:numPr>
          <w:ilvl w:val="0"/>
          <w:numId w:val="2"/>
        </w:numPr>
        <w:spacing w:after="80" w:line="276"/>
      </w:pPr>
      <w:r>
        <w:rPr>
          <w:rFonts w:ascii="Arial" w:cs="Arial" w:eastAsia="Arial" w:hAnsi="Arial"/>
          <w:color w:val="333333"/>
          <w:sz w:val="22"/>
          <w:szCs w:val="22"/>
        </w:rPr>
        <w:t xml:space="preserve">Primary: WhatsApp briefing (Twilio Business API) — weekly Monday morning digest + real-time critical alerts</w:t>
      </w:r>
    </w:p>
    <w:p>
      <w:pPr>
        <w:pStyle w:val="ListParagraph"/>
        <w:numPr>
          <w:ilvl w:val="0"/>
          <w:numId w:val="2"/>
        </w:numPr>
        <w:spacing w:after="80" w:line="276"/>
      </w:pPr>
      <w:r>
        <w:rPr>
          <w:rFonts w:ascii="Arial" w:cs="Arial" w:eastAsia="Arial" w:hAnsi="Arial"/>
          <w:color w:val="333333"/>
          <w:sz w:val="22"/>
          <w:szCs w:val="22"/>
        </w:rPr>
        <w:t xml:space="preserve">Secondary: Email (Resend) — formatted weekly intelligence report with charts and actionable items</w:t>
      </w:r>
    </w:p>
    <w:p>
      <w:pPr>
        <w:pStyle w:val="ListParagraph"/>
        <w:numPr>
          <w:ilvl w:val="0"/>
          <w:numId w:val="2"/>
        </w:numPr>
        <w:spacing w:after="80" w:line="276"/>
      </w:pPr>
      <w:r>
        <w:rPr>
          <w:rFonts w:ascii="Arial" w:cs="Arial" w:eastAsia="Arial" w:hAnsi="Arial"/>
          <w:color w:val="333333"/>
          <w:sz w:val="22"/>
          <w:szCs w:val="22"/>
        </w:rPr>
        <w:t xml:space="preserve">Tertiary: Web dashboard (viabe.ai/pulse) — historical trends, competitor tracking, interactive maps (Phase 2)</w:t>
      </w:r>
    </w:p>
    <w:p>
      <w:pPr>
        <w:pStyle w:val="ListParagraph"/>
        <w:numPr>
          <w:ilvl w:val="0"/>
          <w:numId w:val="2"/>
        </w:numPr>
        <w:spacing w:after="80" w:line="276"/>
      </w:pPr>
      <w:r>
        <w:rPr>
          <w:rFonts w:ascii="Arial" w:cs="Arial" w:eastAsia="Arial" w:hAnsi="Arial"/>
          <w:color w:val="333333"/>
          <w:sz w:val="22"/>
          <w:szCs w:val="22"/>
        </w:rPr>
        <w:t xml:space="preserve">AI review response drafts: Delivered via WhatsApp with one-tap approve/edit workflow</w:t>
      </w:r>
    </w:p>
    <w:p>
      <w:pPr>
        <w:pStyle w:val="Heading2"/>
        <w:spacing w:after="200" w:before="240"/>
      </w:pPr>
      <w:r>
        <w:t xml:space="preserve">6.4 Storage &amp; Memory</w:t>
      </w:r>
    </w:p>
    <w:p>
      <w:pPr>
        <w:pStyle w:val="ListParagraph"/>
        <w:numPr>
          <w:ilvl w:val="0"/>
          <w:numId w:val="2"/>
        </w:numPr>
        <w:spacing w:after="80" w:line="276"/>
      </w:pPr>
      <w:r>
        <w:rPr>
          <w:rFonts w:ascii="Arial" w:cs="Arial" w:eastAsia="Arial" w:hAnsi="Arial"/>
          <w:color w:val="333333"/>
          <w:sz w:val="22"/>
          <w:szCs w:val="22"/>
        </w:rPr>
        <w:t xml:space="preserve">pulse_subscribers table: subscriber metadata, location, business type, lease renewal date, notification preferences</w:t>
      </w:r>
    </w:p>
    <w:p>
      <w:pPr>
        <w:pStyle w:val="ListParagraph"/>
        <w:numPr>
          <w:ilvl w:val="0"/>
          <w:numId w:val="2"/>
        </w:numPr>
        <w:spacing w:after="80" w:line="276"/>
      </w:pPr>
      <w:r>
        <w:rPr>
          <w:rFonts w:ascii="Arial" w:cs="Arial" w:eastAsia="Arial" w:hAnsi="Arial"/>
          <w:color w:val="333333"/>
          <w:sz w:val="22"/>
          <w:szCs w:val="22"/>
        </w:rPr>
        <w:t xml:space="preserve">pulse_snapshots table: weekly scan snapshots per subscriber location (competitors, ratings, review counts, price levels, business_status)</w:t>
      </w:r>
    </w:p>
    <w:p>
      <w:pPr>
        <w:pStyle w:val="ListParagraph"/>
        <w:numPr>
          <w:ilvl w:val="0"/>
          <w:numId w:val="2"/>
        </w:numPr>
        <w:spacing w:after="80" w:line="276"/>
      </w:pPr>
      <w:r>
        <w:rPr>
          <w:rFonts w:ascii="Arial" w:cs="Arial" w:eastAsia="Arial" w:hAnsi="Arial"/>
          <w:color w:val="333333"/>
          <w:sz w:val="22"/>
          <w:szCs w:val="22"/>
        </w:rPr>
        <w:t xml:space="preserve">locality_knowledge table (existing): VRI history, rent trends, competitor counts, footfall estimates — enriched by Pulse data</w:t>
      </w:r>
    </w:p>
    <w:p>
      <w:pPr>
        <w:pStyle w:val="ListParagraph"/>
        <w:numPr>
          <w:ilvl w:val="0"/>
          <w:numId w:val="2"/>
        </w:numPr>
        <w:spacing w:after="80" w:line="276"/>
      </w:pPr>
      <w:r>
        <w:rPr>
          <w:rFonts w:ascii="Arial" w:cs="Arial" w:eastAsia="Arial" w:hAnsi="Arial"/>
          <w:color w:val="333333"/>
          <w:sz w:val="22"/>
          <w:szCs w:val="22"/>
        </w:rPr>
        <w:t xml:space="preserve">pulse_alerts table: generated alerts with priority, type, delivery status, subscriber action taken</w:t>
      </w:r>
    </w:p>
    <w:p>
      <w:pPr>
        <w:pStyle w:val="Heading2"/>
        <w:spacing w:after="200" w:before="240"/>
      </w:pPr>
      <w:r>
        <w:t xml:space="preserve">6.5 Cost Per Subscriber Per Month (Estimated)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430"/>
        <w:gridCol w:w="3430"/>
      </w:tblGrid>
      <w:tr>
        <w:tc>
          <w:tcPr>
            <w:tcW w:type="dxa" w:w="35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Component</w:t>
            </w:r>
          </w:p>
        </w:tc>
        <w:tc>
          <w:tcPr>
            <w:tcW w:type="dxa" w:w="2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Cost</w:t>
            </w:r>
          </w:p>
        </w:tc>
        <w:tc>
          <w:tcPr>
            <w:tcW w:type="dxa" w:w="343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Notes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Google Maps API (weekly re-scan)</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$2.50-4.00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~30 Place Details calls/week x 4 weeks</w:t>
            </w:r>
          </w:p>
        </w:tc>
      </w:tr>
      <w:tr>
        <w:tc>
          <w:tcPr>
            <w:tcW w:type="dxa" w:w="3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LLM synthesis (Haiku 4.5)</w:t>
            </w:r>
          </w:p>
        </w:tc>
        <w:tc>
          <w:tcPr>
            <w:tcW w:type="dxa" w:w="243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$0.50-1.00</w:t>
            </w:r>
          </w:p>
        </w:tc>
        <w:tc>
          <w:tcPr>
            <w:tcW w:type="dxa" w:w="343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 intelligence synthesis + alert generation</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Grok sentiment</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$0.30-0.50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Weekly sentiment analysis for subscriber zone</w:t>
            </w:r>
          </w:p>
        </w:tc>
      </w:tr>
      <w:tr>
        <w:tc>
          <w:tcPr>
            <w:tcW w:type="dxa" w:w="3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Scraping (rent + pricing)</w:t>
            </w:r>
          </w:p>
        </w:tc>
        <w:tc>
          <w:tcPr>
            <w:tcW w:type="dxa" w:w="243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$0.50-1.00</w:t>
            </w:r>
          </w:p>
        </w:tc>
        <w:tc>
          <w:tcPr>
            <w:tcW w:type="dxa" w:w="343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Amortized BrightData/ScrapingBee across subscribers</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WhatsApp delivery (Twilio)</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$0.50-1.00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~8-12 messages/month per subscriber</w:t>
            </w:r>
          </w:p>
        </w:tc>
      </w:tr>
      <w:tr>
        <w:tc>
          <w:tcPr>
            <w:tcW w:type="dxa" w:w="35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delivery (Resend)</w:t>
            </w:r>
          </w:p>
        </w:tc>
        <w:tc>
          <w:tcPr>
            <w:tcW w:type="dxa" w:w="243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$0.00-0.10</w:t>
            </w:r>
          </w:p>
        </w:tc>
        <w:tc>
          <w:tcPr>
            <w:tcW w:type="dxa" w:w="343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Within 3,000/month free tier initially</w:t>
            </w:r>
          </w:p>
        </w:tc>
      </w:tr>
      <w:tr>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Hosting (amortized)</w:t>
            </w:r>
          </w:p>
        </w:tc>
        <w:tc>
          <w:tcPr>
            <w:tcW w:type="dxa" w:w="2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$0.50-1.00</w:t>
            </w:r>
          </w:p>
        </w:tc>
        <w:tc>
          <w:tcPr>
            <w:tcW w:type="dxa" w:w="343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Railway compute for n8n + processing</w:t>
            </w:r>
          </w:p>
        </w:tc>
      </w:tr>
      <w:tr>
        <w:tc>
          <w:tcPr>
            <w:tcW w:type="dxa" w:w="350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TOTAL COGS per subscriber</w:t>
            </w:r>
          </w:p>
        </w:tc>
        <w:tc>
          <w:tcPr>
            <w:tcW w:type="dxa" w:w="2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$5.00-8.50</w:t>
            </w:r>
          </w:p>
        </w:tc>
        <w:tc>
          <w:tcPr>
            <w:tcW w:type="dxa" w:w="3430"/>
            <w:tcBorders>
              <w:top w:val="single" w:color="CCCCCC" w:sz="1"/>
              <w:left w:val="single" w:color="CCCCCC" w:sz="1"/>
              <w:bottom w:val="single" w:color="CCCCCC" w:sz="1"/>
              <w:right w:val="single" w:color="CCCCCC" w:sz="1"/>
            </w:tcBorders>
            <w:shd w:fill="D5E8F0"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At $200/month price = 96-97% gross margin</w:t>
            </w:r>
          </w:p>
        </w:tc>
      </w:tr>
    </w:tbl>
    <w:p>
      <w:r>
        <w:br w:type="page"/>
      </w:r>
    </w:p>
    <w:p>
      <w:pPr>
        <w:pStyle w:val="Heading1"/>
        <w:spacing w:after="200" w:before="360"/>
      </w:pPr>
      <w:r>
        <w:t xml:space="preserve">7. Pricing Strategy</w:t>
      </w:r>
    </w:p>
    <w:p>
      <w:pPr>
        <w:spacing w:after="160" w:before="0" w:line="276"/>
        <w:jc w:val="left"/>
      </w:pPr>
      <w:r>
        <w:rPr>
          <w:rFonts w:ascii="Arial" w:cs="Arial" w:eastAsia="Arial" w:hAnsi="Arial"/>
          <w:b/>
          <w:bCs/>
          <w:color w:val="333333"/>
          <w:sz w:val="22"/>
          <w:szCs w:val="22"/>
        </w:rPr>
        <w:t xml:space="preserve">Single tier at launch: </w:t>
      </w:r>
      <w:r>
        <w:rPr>
          <w:rFonts w:ascii="Arial" w:cs="Arial" w:eastAsia="Arial" w:hAnsi="Arial"/>
          <w:color w:val="333333"/>
          <w:sz w:val="22"/>
          <w:szCs w:val="22"/>
        </w:rPr>
        <w:t xml:space="preserve">$200/month. No freemium. No tiered pricing initially.</w:t>
      </w:r>
    </w:p>
    <w:p>
      <w:pPr>
        <w:spacing w:after="160" w:before="0" w:line="276"/>
        <w:jc w:val="left"/>
      </w:pPr>
      <w:r>
        <w:rPr>
          <w:rFonts w:ascii="Arial" w:cs="Arial" w:eastAsia="Arial" w:hAnsi="Arial"/>
          <w:b w:val="false"/>
          <w:bCs w:val="false"/>
          <w:i w:val="false"/>
          <w:iCs w:val="false"/>
          <w:color w:val="333333"/>
          <w:sz w:val="22"/>
          <w:szCs w:val="22"/>
        </w:rPr>
        <w:t xml:space="preserve">Rationale: At $200/month with $1,000+/week value delivery, the ROI is so clear that tiering adds friction without adding revenue. Every subscriber gets the full intelligence stack. Annual discount: $1,920/year (20% off monthly, equivalent to $160/month). This locks in subscribers and reduces monthly churn evaluation.</w:t>
      </w:r>
    </w:p>
    <w:p>
      <w:pPr>
        <w:pStyle w:val="Heading2"/>
        <w:spacing w:after="200" w:before="240"/>
      </w:pPr>
      <w:r>
        <w:t xml:space="preserve">7.1 Geo-Pricing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Market</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Monthly Price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Annual Price</w:t>
            </w:r>
          </w:p>
        </w:tc>
        <w:tc>
          <w:tcPr>
            <w:tcW w:type="dxa" w:w="23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Equivalent INR</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India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 / INR 16,800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$1,920 / INR 161,280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INR 16,800/mo</w:t>
            </w:r>
          </w:p>
        </w:tc>
      </w:tr>
      <w:tr>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GCC / Saudi</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SAR 749</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SAR 7,190</w:t>
            </w:r>
          </w:p>
        </w:tc>
        <w:tc>
          <w:tcPr>
            <w:tcW w:type="dxa" w:w="234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~INR 16,700/mo</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International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$200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$1,920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~INR 16,800/mo</w:t>
            </w:r>
          </w:p>
        </w:tc>
      </w:tr>
    </w:tbl>
    <w:p>
      <w:pPr>
        <w:pStyle w:val="Heading2"/>
        <w:spacing w:after="200" w:before="240"/>
      </w:pPr>
      <w:r>
        <w:t xml:space="preserve">7.2 Churn Mitigation</w:t>
      </w:r>
    </w:p>
    <w:p>
      <w:pPr>
        <w:pStyle w:val="ListParagraph"/>
        <w:numPr>
          <w:ilvl w:val="0"/>
          <w:numId w:val="2"/>
        </w:numPr>
        <w:spacing w:after="80" w:line="276"/>
      </w:pPr>
      <w:r>
        <w:rPr>
          <w:rFonts w:ascii="Arial" w:cs="Arial" w:eastAsia="Arial" w:hAnsi="Arial"/>
          <w:color w:val="333333"/>
          <w:sz w:val="22"/>
          <w:szCs w:val="22"/>
        </w:rPr>
        <w:t xml:space="preserve">Growth mode: When competitive landscape is stable, Pulse switches from risk alerts to growth tips and expansion intelligence</w:t>
      </w:r>
    </w:p>
    <w:p>
      <w:pPr>
        <w:pStyle w:val="ListParagraph"/>
        <w:numPr>
          <w:ilvl w:val="0"/>
          <w:numId w:val="2"/>
        </w:numPr>
        <w:spacing w:after="80" w:line="276"/>
      </w:pPr>
      <w:r>
        <w:rPr>
          <w:rFonts w:ascii="Arial" w:cs="Arial" w:eastAsia="Arial" w:hAnsi="Arial"/>
          <w:color w:val="333333"/>
          <w:sz w:val="22"/>
          <w:szCs w:val="22"/>
        </w:rPr>
        <w:t xml:space="preserve">Re-engagement bait: For churned subscribers, continue passive monitoring. When a risk signal is detected, send free alert with upgrade CTA</w:t>
      </w:r>
    </w:p>
    <w:p>
      <w:pPr>
        <w:pStyle w:val="ListParagraph"/>
        <w:numPr>
          <w:ilvl w:val="0"/>
          <w:numId w:val="2"/>
        </w:numPr>
        <w:spacing w:after="80" w:line="276"/>
      </w:pPr>
      <w:r>
        <w:rPr>
          <w:rFonts w:ascii="Arial" w:cs="Arial" w:eastAsia="Arial" w:hAnsi="Arial"/>
          <w:color w:val="333333"/>
          <w:sz w:val="22"/>
          <w:szCs w:val="22"/>
        </w:rPr>
        <w:t xml:space="preserve">Annual lock-in: 20% discount for annual billing reduces monthly churn evaluation</w:t>
      </w:r>
    </w:p>
    <w:p>
      <w:pPr>
        <w:pStyle w:val="ListParagraph"/>
        <w:numPr>
          <w:ilvl w:val="0"/>
          <w:numId w:val="2"/>
        </w:numPr>
        <w:spacing w:after="80" w:line="276"/>
      </w:pPr>
      <w:r>
        <w:rPr>
          <w:rFonts w:ascii="Arial" w:cs="Arial" w:eastAsia="Arial" w:hAnsi="Arial"/>
          <w:color w:val="333333"/>
          <w:sz w:val="22"/>
          <w:szCs w:val="22"/>
        </w:rPr>
        <w:t xml:space="preserve">Data compounding value: After 6 months, subscriber has irreplaceable trend history that makes cancellation costly</w:t>
      </w:r>
    </w:p>
    <w:p>
      <w:pPr>
        <w:pStyle w:val="ListParagraph"/>
        <w:numPr>
          <w:ilvl w:val="0"/>
          <w:numId w:val="2"/>
        </w:numPr>
        <w:spacing w:after="80" w:line="276"/>
      </w:pPr>
      <w:r>
        <w:rPr>
          <w:rFonts w:ascii="Arial" w:cs="Arial" w:eastAsia="Arial" w:hAnsi="Arial"/>
          <w:color w:val="333333"/>
          <w:sz w:val="22"/>
          <w:szCs w:val="22"/>
        </w:rPr>
        <w:t xml:space="preserve">Intelligence network dependency: Cancelling means losing access to the network’s aggregated insights</w:t>
      </w:r>
    </w:p>
    <w:p>
      <w:pPr>
        <w:pStyle w:val="Heading1"/>
        <w:spacing w:after="200" w:before="360"/>
      </w:pPr>
      <w:r>
        <w:t xml:space="preserve">8. Implementation Roadmap</w:t>
      </w:r>
    </w:p>
    <w:p>
      <w:pPr>
        <w:pStyle w:val="Heading2"/>
        <w:spacing w:after="200" w:before="240"/>
      </w:pPr>
      <w:r>
        <w:t xml:space="preserve">8.1 Phase A: Launch Foundation (Week 1-4)</w:t>
      </w:r>
    </w:p>
    <w:p>
      <w:pPr>
        <w:spacing w:after="160" w:before="0" w:line="276"/>
        <w:jc w:val="left"/>
      </w:pPr>
      <w:r>
        <w:rPr>
          <w:rFonts w:ascii="Arial" w:cs="Arial" w:eastAsia="Arial" w:hAnsi="Arial"/>
          <w:b w:val="false"/>
          <w:bCs w:val="false"/>
          <w:i w:val="false"/>
          <w:iCs w:val="false"/>
          <w:color w:val="333333"/>
          <w:sz w:val="22"/>
          <w:szCs w:val="22"/>
        </w:rPr>
        <w:t xml:space="preserve">Ship the 6 highest-scoring value streams that require minimal new infrastructure:</w:t>
      </w:r>
    </w:p>
    <w:p>
      <w:pPr>
        <w:pStyle w:val="ListParagraph"/>
        <w:numPr>
          <w:ilvl w:val="0"/>
          <w:numId w:val="2"/>
        </w:numPr>
        <w:spacing w:after="80" w:line="276"/>
      </w:pPr>
      <w:r>
        <w:rPr>
          <w:rFonts w:ascii="Arial" w:cs="Arial" w:eastAsia="Arial" w:hAnsi="Arial"/>
          <w:color w:val="333333"/>
          <w:sz w:val="22"/>
          <w:szCs w:val="22"/>
        </w:rPr>
        <w:t xml:space="preserve">Competitive landscape radar (score 89, achievability 9.5)</w:t>
      </w:r>
    </w:p>
    <w:p>
      <w:pPr>
        <w:pStyle w:val="ListParagraph"/>
        <w:numPr>
          <w:ilvl w:val="0"/>
          <w:numId w:val="2"/>
        </w:numPr>
        <w:spacing w:after="80" w:line="276"/>
      </w:pPr>
      <w:r>
        <w:rPr>
          <w:rFonts w:ascii="Arial" w:cs="Arial" w:eastAsia="Arial" w:hAnsi="Arial"/>
          <w:color w:val="333333"/>
          <w:sz w:val="22"/>
          <w:szCs w:val="22"/>
        </w:rPr>
        <w:t xml:space="preserve">Competitor closure opportunity capture (score 95, achievability 9)</w:t>
      </w:r>
    </w:p>
    <w:p>
      <w:pPr>
        <w:pStyle w:val="ListParagraph"/>
        <w:numPr>
          <w:ilvl w:val="0"/>
          <w:numId w:val="2"/>
        </w:numPr>
        <w:spacing w:after="80" w:line="276"/>
      </w:pPr>
      <w:r>
        <w:rPr>
          <w:rFonts w:ascii="Arial" w:cs="Arial" w:eastAsia="Arial" w:hAnsi="Arial"/>
          <w:color w:val="333333"/>
          <w:sz w:val="22"/>
          <w:szCs w:val="22"/>
        </w:rPr>
        <w:t xml:space="preserve">Early customer churn prevention (score 93, achievability 8)</w:t>
      </w:r>
    </w:p>
    <w:p>
      <w:pPr>
        <w:pStyle w:val="ListParagraph"/>
        <w:numPr>
          <w:ilvl w:val="0"/>
          <w:numId w:val="2"/>
        </w:numPr>
        <w:spacing w:after="80" w:line="276"/>
      </w:pPr>
      <w:r>
        <w:rPr>
          <w:rFonts w:ascii="Arial" w:cs="Arial" w:eastAsia="Arial" w:hAnsi="Arial"/>
          <w:color w:val="333333"/>
          <w:sz w:val="22"/>
          <w:szCs w:val="22"/>
        </w:rPr>
        <w:t xml:space="preserve">Reputation management intelligence (score 90, achievability 9)</w:t>
      </w:r>
    </w:p>
    <w:p>
      <w:pPr>
        <w:pStyle w:val="ListParagraph"/>
        <w:numPr>
          <w:ilvl w:val="0"/>
          <w:numId w:val="2"/>
        </w:numPr>
        <w:spacing w:after="80" w:line="276"/>
      </w:pPr>
      <w:r>
        <w:rPr>
          <w:rFonts w:ascii="Arial" w:cs="Arial" w:eastAsia="Arial" w:hAnsi="Arial"/>
          <w:color w:val="333333"/>
          <w:sz w:val="22"/>
          <w:szCs w:val="22"/>
        </w:rPr>
        <w:t xml:space="preserve">Rent negotiation intelligence (score 91, achievability 8.5)</w:t>
      </w:r>
    </w:p>
    <w:p>
      <w:pPr>
        <w:pStyle w:val="ListParagraph"/>
        <w:numPr>
          <w:ilvl w:val="0"/>
          <w:numId w:val="2"/>
        </w:numPr>
        <w:spacing w:after="80" w:line="276"/>
      </w:pPr>
      <w:r>
        <w:rPr>
          <w:rFonts w:ascii="Arial" w:cs="Arial" w:eastAsia="Arial" w:hAnsi="Arial"/>
          <w:color w:val="333333"/>
          <w:sz w:val="22"/>
          <w:szCs w:val="22"/>
        </w:rPr>
        <w:t xml:space="preserve">Pricing optimization — basic (score 92, achievability 7)</w:t>
      </w:r>
    </w:p>
    <w:p>
      <w:pPr>
        <w:spacing w:after="160" w:before="0" w:line="276"/>
        <w:jc w:val="left"/>
      </w:pPr>
      <w:r>
        <w:rPr>
          <w:rFonts w:ascii="Arial" w:cs="Arial" w:eastAsia="Arial" w:hAnsi="Arial"/>
          <w:b/>
          <w:bCs/>
          <w:color w:val="333333"/>
          <w:sz w:val="22"/>
          <w:szCs w:val="22"/>
        </w:rPr>
        <w:t xml:space="preserve">Infrastructure: </w:t>
      </w:r>
      <w:r>
        <w:rPr>
          <w:rFonts w:ascii="Arial" w:cs="Arial" w:eastAsia="Arial" w:hAnsi="Arial"/>
          <w:color w:val="333333"/>
          <w:sz w:val="22"/>
          <w:szCs w:val="22"/>
        </w:rPr>
        <w:t xml:space="preserve">pulse_subscribers table, pulse_snapshots table, pulse_alerts table, n8n weekly re-scan workflow, WhatsApp delivery integration, weekly intelligence synthesis pipeline.</w:t>
      </w:r>
    </w:p>
    <w:p>
      <w:pPr>
        <w:spacing w:after="160" w:before="0" w:line="276"/>
        <w:jc w:val="left"/>
      </w:pPr>
      <w:r>
        <w:rPr>
          <w:rFonts w:ascii="Arial" w:cs="Arial" w:eastAsia="Arial" w:hAnsi="Arial"/>
          <w:b/>
          <w:bCs/>
          <w:color w:val="333333"/>
          <w:sz w:val="22"/>
          <w:szCs w:val="22"/>
        </w:rPr>
        <w:t xml:space="preserve">Delivery: </w:t>
      </w:r>
      <w:r>
        <w:rPr>
          <w:rFonts w:ascii="Arial" w:cs="Arial" w:eastAsia="Arial" w:hAnsi="Arial"/>
          <w:color w:val="333333"/>
          <w:sz w:val="22"/>
          <w:szCs w:val="22"/>
        </w:rPr>
        <w:t xml:space="preserve">Monday morning WhatsApp briefing + critical real-time alerts.</w:t>
      </w:r>
    </w:p>
    <w:p>
      <w:pPr>
        <w:pStyle w:val="Heading2"/>
        <w:spacing w:after="200" w:before="240"/>
      </w:pPr>
      <w:r>
        <w:t xml:space="preserve">8.2 Phase B: Intelligence Expansion (Month 2-4)</w:t>
      </w:r>
    </w:p>
    <w:p>
      <w:pPr>
        <w:pStyle w:val="ListParagraph"/>
        <w:numPr>
          <w:ilvl w:val="0"/>
          <w:numId w:val="2"/>
        </w:numPr>
        <w:spacing w:after="80" w:line="276"/>
      </w:pPr>
      <w:r>
        <w:rPr>
          <w:rFonts w:ascii="Arial" w:cs="Arial" w:eastAsia="Arial" w:hAnsi="Arial"/>
          <w:color w:val="333333"/>
          <w:sz w:val="22"/>
          <w:szCs w:val="22"/>
        </w:rPr>
        <w:t xml:space="preserve">Staff scheduling optimization (score 82, achievability 7.5)</w:t>
      </w:r>
    </w:p>
    <w:p>
      <w:pPr>
        <w:pStyle w:val="ListParagraph"/>
        <w:numPr>
          <w:ilvl w:val="0"/>
          <w:numId w:val="2"/>
        </w:numPr>
        <w:spacing w:after="80" w:line="276"/>
      </w:pPr>
      <w:r>
        <w:rPr>
          <w:rFonts w:ascii="Arial" w:cs="Arial" w:eastAsia="Arial" w:hAnsi="Arial"/>
          <w:color w:val="333333"/>
          <w:sz w:val="22"/>
          <w:szCs w:val="22"/>
        </w:rPr>
        <w:t xml:space="preserve">Demand window capture (score 85, achievability 6.5)</w:t>
      </w:r>
    </w:p>
    <w:p>
      <w:pPr>
        <w:pStyle w:val="ListParagraph"/>
        <w:numPr>
          <w:ilvl w:val="0"/>
          <w:numId w:val="2"/>
        </w:numPr>
        <w:spacing w:after="80" w:line="276"/>
      </w:pPr>
      <w:r>
        <w:rPr>
          <w:rFonts w:ascii="Arial" w:cs="Arial" w:eastAsia="Arial" w:hAnsi="Arial"/>
          <w:color w:val="333333"/>
          <w:sz w:val="22"/>
          <w:szCs w:val="22"/>
        </w:rPr>
        <w:t xml:space="preserve">Expansion readiness assessment (score 78, achievability 7)</w:t>
      </w:r>
    </w:p>
    <w:p>
      <w:pPr>
        <w:pStyle w:val="ListParagraph"/>
        <w:numPr>
          <w:ilvl w:val="0"/>
          <w:numId w:val="2"/>
        </w:numPr>
        <w:spacing w:after="80" w:line="276"/>
      </w:pPr>
      <w:r>
        <w:rPr>
          <w:rFonts w:ascii="Arial" w:cs="Arial" w:eastAsia="Arial" w:hAnsi="Arial"/>
          <w:color w:val="333333"/>
          <w:sz w:val="22"/>
          <w:szCs w:val="22"/>
        </w:rPr>
        <w:t xml:space="preserve">Ad spend optimization (score 74, achievability 5.5)</w:t>
      </w:r>
    </w:p>
    <w:p>
      <w:pPr>
        <w:pStyle w:val="ListParagraph"/>
        <w:numPr>
          <w:ilvl w:val="0"/>
          <w:numId w:val="2"/>
        </w:numPr>
        <w:spacing w:after="80" w:line="276"/>
      </w:pPr>
      <w:r>
        <w:rPr>
          <w:rFonts w:ascii="Arial" w:cs="Arial" w:eastAsia="Arial" w:hAnsi="Arial"/>
          <w:color w:val="333333"/>
          <w:sz w:val="22"/>
          <w:szCs w:val="22"/>
        </w:rPr>
        <w:t xml:space="preserve">Cash flow demand forecasting (score 72, achievability 5)</w:t>
      </w:r>
    </w:p>
    <w:p>
      <w:pPr>
        <w:spacing w:after="160" w:before="0" w:line="276"/>
        <w:jc w:val="left"/>
      </w:pPr>
      <w:r>
        <w:rPr>
          <w:rFonts w:ascii="Arial" w:cs="Arial" w:eastAsia="Arial" w:hAnsi="Arial"/>
          <w:b/>
          <w:bCs/>
          <w:color w:val="333333"/>
          <w:sz w:val="22"/>
          <w:szCs w:val="22"/>
        </w:rPr>
        <w:t xml:space="preserve">Infrastructure: </w:t>
      </w:r>
      <w:r>
        <w:rPr>
          <w:rFonts w:ascii="Arial" w:cs="Arial" w:eastAsia="Arial" w:hAnsi="Arial"/>
          <w:color w:val="333333"/>
          <w:sz w:val="22"/>
          <w:szCs w:val="22"/>
        </w:rPr>
        <w:t xml:space="preserve">Historical data accumulation, Swiggy/Zomato pricing scrape, seasonal demand models, expansion analysis pipeline.</w:t>
      </w:r>
    </w:p>
    <w:p>
      <w:pPr>
        <w:pStyle w:val="Heading2"/>
        <w:spacing w:after="200" w:before="240"/>
      </w:pPr>
      <w:r>
        <w:t xml:space="preserve">8.3 Phase C: Network Effects (Month 6+)</w:t>
      </w:r>
    </w:p>
    <w:p>
      <w:pPr>
        <w:pStyle w:val="ListParagraph"/>
        <w:numPr>
          <w:ilvl w:val="0"/>
          <w:numId w:val="2"/>
        </w:numPr>
        <w:spacing w:after="80" w:line="276"/>
      </w:pPr>
      <w:r>
        <w:rPr>
          <w:rFonts w:ascii="Arial" w:cs="Arial" w:eastAsia="Arial" w:hAnsi="Arial"/>
          <w:color w:val="333333"/>
          <w:sz w:val="22"/>
          <w:szCs w:val="22"/>
        </w:rPr>
        <w:t xml:space="preserve">Supplier &amp; vendor cost intelligence (score 52, achievability 3.5)</w:t>
      </w:r>
    </w:p>
    <w:p>
      <w:pPr>
        <w:pStyle w:val="ListParagraph"/>
        <w:numPr>
          <w:ilvl w:val="0"/>
          <w:numId w:val="2"/>
        </w:numPr>
        <w:spacing w:after="80" w:line="276"/>
      </w:pPr>
      <w:r>
        <w:rPr>
          <w:rFonts w:ascii="Arial" w:cs="Arial" w:eastAsia="Arial" w:hAnsi="Arial"/>
          <w:color w:val="333333"/>
          <w:sz w:val="22"/>
          <w:szCs w:val="22"/>
        </w:rPr>
        <w:t xml:space="preserve">Seasonal event maximization (score 68, achievability 4)</w:t>
      </w:r>
    </w:p>
    <w:p>
      <w:pPr>
        <w:pStyle w:val="ListParagraph"/>
        <w:numPr>
          <w:ilvl w:val="0"/>
          <w:numId w:val="2"/>
        </w:numPr>
        <w:spacing w:after="80" w:line="276"/>
      </w:pPr>
      <w:r>
        <w:rPr>
          <w:rFonts w:ascii="Arial" w:cs="Arial" w:eastAsia="Arial" w:hAnsi="Arial"/>
          <w:color w:val="333333"/>
          <w:sz w:val="22"/>
          <w:szCs w:val="22"/>
        </w:rPr>
        <w:t xml:space="preserve">AI visibility &amp; digital audit (score 65, achievability 5)</w:t>
      </w:r>
    </w:p>
    <w:p>
      <w:pPr>
        <w:pStyle w:val="ListParagraph"/>
        <w:numPr>
          <w:ilvl w:val="0"/>
          <w:numId w:val="2"/>
        </w:numPr>
        <w:spacing w:after="80" w:line="276"/>
      </w:pPr>
      <w:r>
        <w:rPr>
          <w:rFonts w:ascii="Arial" w:cs="Arial" w:eastAsia="Arial" w:hAnsi="Arial"/>
          <w:color w:val="333333"/>
          <w:sz w:val="22"/>
          <w:szCs w:val="22"/>
        </w:rPr>
        <w:t xml:space="preserve">Regulatory compliance intelligence (score 58, achievability 4.5)</w:t>
      </w:r>
    </w:p>
    <w:p>
      <w:pPr>
        <w:spacing w:after="160" w:before="0" w:line="276"/>
        <w:jc w:val="left"/>
      </w:pPr>
      <w:r>
        <w:rPr>
          <w:rFonts w:ascii="Arial" w:cs="Arial" w:eastAsia="Arial" w:hAnsi="Arial"/>
          <w:b/>
          <w:bCs/>
          <w:color w:val="333333"/>
          <w:sz w:val="22"/>
          <w:szCs w:val="22"/>
        </w:rPr>
        <w:t xml:space="preserve">Trigger: </w:t>
      </w:r>
      <w:r>
        <w:rPr>
          <w:rFonts w:ascii="Arial" w:cs="Arial" w:eastAsia="Arial" w:hAnsi="Arial"/>
          <w:color w:val="333333"/>
          <w:sz w:val="22"/>
          <w:szCs w:val="22"/>
        </w:rPr>
        <w:t xml:space="preserve">500+ active subscribers providing network density for meaningful cross-subscriber intelligence.</w:t>
      </w:r>
    </w:p>
    <w:p>
      <w:pPr>
        <w:pStyle w:val="Heading2"/>
        <w:spacing w:after="200" w:before="240"/>
      </w:pPr>
      <w:r>
        <w:t xml:space="preserve">8.4 Success Metrics</w:t>
      </w:r>
    </w:p>
    <w:p>
      <w:pPr>
        <w:pStyle w:val="ListParagraph"/>
        <w:numPr>
          <w:ilvl w:val="0"/>
          <w:numId w:val="2"/>
        </w:numPr>
        <w:spacing w:after="80" w:line="276"/>
      </w:pPr>
      <w:r>
        <w:rPr>
          <w:rFonts w:ascii="Arial" w:cs="Arial" w:eastAsia="Arial" w:hAnsi="Arial"/>
          <w:color w:val="333333"/>
          <w:sz w:val="22"/>
          <w:szCs w:val="22"/>
        </w:rPr>
        <w:t xml:space="preserve">Month 1: 10+ Pulse subscribers (from report buyer conversion + direct signup)</w:t>
      </w:r>
    </w:p>
    <w:p>
      <w:pPr>
        <w:pStyle w:val="ListParagraph"/>
        <w:numPr>
          <w:ilvl w:val="0"/>
          <w:numId w:val="2"/>
        </w:numPr>
        <w:spacing w:after="80" w:line="276"/>
      </w:pPr>
      <w:r>
        <w:rPr>
          <w:rFonts w:ascii="Arial" w:cs="Arial" w:eastAsia="Arial" w:hAnsi="Arial"/>
          <w:color w:val="333333"/>
          <w:sz w:val="22"/>
          <w:szCs w:val="22"/>
        </w:rPr>
        <w:t xml:space="preserve">Month 3: 50+ active subscribers, &lt;15% monthly churn</w:t>
      </w:r>
    </w:p>
    <w:p>
      <w:pPr>
        <w:pStyle w:val="ListParagraph"/>
        <w:numPr>
          <w:ilvl w:val="0"/>
          <w:numId w:val="2"/>
        </w:numPr>
        <w:spacing w:after="80" w:line="276"/>
      </w:pPr>
      <w:r>
        <w:rPr>
          <w:rFonts w:ascii="Arial" w:cs="Arial" w:eastAsia="Arial" w:hAnsi="Arial"/>
          <w:color w:val="333333"/>
          <w:sz w:val="22"/>
          <w:szCs w:val="22"/>
        </w:rPr>
        <w:t xml:space="preserve">Month 6: 200+ active subscribers, MRR $40,000+, 70% annual retention rate</w:t>
      </w:r>
    </w:p>
    <w:p>
      <w:pPr>
        <w:pStyle w:val="ListParagraph"/>
        <w:numPr>
          <w:ilvl w:val="0"/>
          <w:numId w:val="2"/>
        </w:numPr>
        <w:spacing w:after="80" w:line="276"/>
      </w:pPr>
      <w:r>
        <w:rPr>
          <w:rFonts w:ascii="Arial" w:cs="Arial" w:eastAsia="Arial" w:hAnsi="Arial"/>
          <w:color w:val="333333"/>
          <w:sz w:val="22"/>
          <w:szCs w:val="22"/>
        </w:rPr>
        <w:t xml:space="preserve">Month 12: 500+ active subscribers, MRR $100,000+, proprietary micro-market data for 10+ cities</w:t>
      </w:r>
    </w:p>
    <w:p>
      <w:pPr>
        <w:pStyle w:val="ListParagraph"/>
        <w:numPr>
          <w:ilvl w:val="0"/>
          <w:numId w:val="2"/>
        </w:numPr>
        <w:spacing w:after="80" w:line="276"/>
      </w:pPr>
      <w:r>
        <w:rPr>
          <w:rFonts w:ascii="Arial" w:cs="Arial" w:eastAsia="Arial" w:hAnsi="Arial"/>
          <w:color w:val="333333"/>
          <w:sz w:val="22"/>
          <w:szCs w:val="22"/>
        </w:rPr>
        <w:t xml:space="preserve">Subscriber NPS &gt; 50 within first 3 months</w:t>
      </w:r>
    </w:p>
    <w:p>
      <w:pPr>
        <w:pStyle w:val="ListParagraph"/>
        <w:numPr>
          <w:ilvl w:val="0"/>
          <w:numId w:val="2"/>
        </w:numPr>
        <w:spacing w:after="80" w:line="276"/>
      </w:pPr>
      <w:r>
        <w:rPr>
          <w:rFonts w:ascii="Arial" w:cs="Arial" w:eastAsia="Arial" w:hAnsi="Arial"/>
          <w:color w:val="333333"/>
          <w:sz w:val="22"/>
          <w:szCs w:val="22"/>
        </w:rPr>
        <w:t xml:space="preserve">Average weekly briefing open rate &gt; 70% (WhatsApp)</w:t>
      </w:r>
    </w:p>
    <w:p>
      <w:r>
        <w:br w:type="page"/>
      </w:r>
    </w:p>
    <w:p>
      <w:pPr>
        <w:pStyle w:val="Heading1"/>
        <w:spacing w:after="200" w:before="360"/>
      </w:pPr>
      <w:r>
        <w:t xml:space="preserve">9. Document Relationships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Document</w:t>
            </w:r>
          </w:p>
        </w:tc>
        <w:tc>
          <w:tcPr>
            <w:tcW w:type="dxa" w:w="6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jc w:val="left"/>
            </w:pPr>
            <w:r>
              <w:rPr>
                <w:rFonts w:ascii="Arial" w:cs="Arial" w:eastAsia="Arial" w:hAnsi="Arial"/>
                <w:b/>
                <w:bCs/>
                <w:color w:val="FFFFFF"/>
                <w:sz w:val="20"/>
                <w:szCs w:val="20"/>
              </w:rPr>
              <w:t xml:space="preserve">Relationship</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Concept Note v4.3</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Business strategy SOT. Pulse section (3B) to be updated to reference this document. Pricing updated from INR 499-2,999 to $200/month.</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CLAUDE.md v4.3</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System spec. Add Pulse architecture as new Part. PulseManager OpenClaw instance scope expanded.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Technical Reference v2.0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Engineering reference. Needs new section for Pulse data flows, subscriber management, and alert pipeline.</w:t>
            </w:r>
          </w:p>
        </w:tc>
      </w:tr>
      <w:tr>
        <w:tc>
          <w:tcPr>
            <w:tcW w:type="dxa" w:w="300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Pipeline Intelligence v1.0</w:t>
            </w:r>
          </w:p>
        </w:tc>
        <w:tc>
          <w:tcPr>
            <w:tcW w:type="dxa" w:w="6360"/>
            <w:tcBorders>
              <w:top w:val="single" w:color="CCCCCC" w:sz="1"/>
              <w:left w:val="single" w:color="CCCCCC" w:sz="1"/>
              <w:bottom w:val="single" w:color="CCCCCC" w:sz="1"/>
              <w:right w:val="single" w:color="CCCCCC" w:sz="1"/>
            </w:tcBorders>
            <w:shd w:fill="F5F6FA" w:val="clear"/>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Director architecture feeds Pulse intelligence. locality_knowledge and pipeline_intelligence tables shared.</w:t>
            </w:r>
          </w:p>
        </w:tc>
      </w:tr>
      <w:tr>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Location Signal Framework v1.0</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Red-flag framework signals feed into Pulse alerts. Batch 1 NOW items align with Phase A launch.</w:t>
            </w:r>
          </w:p>
        </w:tc>
      </w:tr>
    </w:tbl>
    <w:p>
      <w:pPr>
        <w:spacing w:after="200" w:before="0" w:line="276"/>
        <w:jc w:val="left"/>
      </w:pPr>
      <w:r>
        <w:rPr>
          <w:rFonts w:ascii="Arial" w:cs="Arial" w:eastAsia="Arial" w:hAnsi="Arial"/>
          <w:b w:val="false"/>
          <w:bCs w:val="false"/>
          <w:i w:val="false"/>
          <w:iCs w:val="false"/>
          <w:color w:val="333333"/>
          <w:sz w:val="22"/>
          <w:szCs w:val="22"/>
        </w:rPr>
        <w:t xml:space="preserve"/>
      </w:r>
    </w:p>
    <w:p>
      <w:pPr>
        <w:pBdr>
          <w:top w:val="single" w:color="2E75B6" w:sz="6" w:space="12"/>
        </w:pBdr>
        <w:spacing w:after="200"/>
      </w:pPr>
    </w:p>
    <w:p>
      <w:pPr>
        <w:spacing w:after="80"/>
        <w:jc w:val="center"/>
      </w:pPr>
      <w:r>
        <w:rPr>
          <w:rFonts w:ascii="Arial" w:cs="Arial" w:eastAsia="Arial" w:hAnsi="Arial"/>
          <w:i/>
          <w:iCs/>
          <w:color w:val="1B2A4A"/>
          <w:sz w:val="24"/>
          <w:szCs w:val="24"/>
        </w:rPr>
        <w:t xml:space="preserve">Pulse is not a monitoring tool.</w:t>
      </w:r>
    </w:p>
    <w:p>
      <w:pPr>
        <w:spacing w:after="80"/>
        <w:jc w:val="center"/>
      </w:pPr>
      <w:r>
        <w:rPr>
          <w:rFonts w:ascii="Arial" w:cs="Arial" w:eastAsia="Arial" w:hAnsi="Arial"/>
          <w:i/>
          <w:iCs/>
          <w:color w:val="1B2A4A"/>
          <w:sz w:val="24"/>
          <w:szCs w:val="24"/>
        </w:rPr>
        <w:t xml:space="preserve">It is a competitive intelligence advantage that gets smarter every week.</w:t>
      </w:r>
    </w:p>
    <w:p>
      <w:pPr>
        <w:spacing w:after="200"/>
        <w:jc w:val="center"/>
      </w:pPr>
      <w:r>
        <w:rPr>
          <w:rFonts w:ascii="Arial" w:cs="Arial" w:eastAsia="Arial" w:hAnsi="Arial"/>
          <w:b/>
          <w:bCs/>
          <w:color w:val="1B2A4A"/>
          <w:sz w:val="24"/>
          <w:szCs w:val="24"/>
        </w:rPr>
        <w:t xml:space="preserve">Cancelling means going blind while your competitors don’t.</w:t>
      </w:r>
    </w:p>
    <w:p>
      <w:pPr>
        <w:pBdr>
          <w:bottom w:val="single" w:color="2E75B6" w:sz="6" w:space="12"/>
        </w:pBdr>
        <w:spacing w:after="200"/>
      </w:pPr>
    </w:p>
    <w:p>
      <w:pPr>
        <w:spacing w:after="80" w:before="0" w:line="276"/>
        <w:jc w:val="center"/>
      </w:pPr>
      <w:r>
        <w:rPr>
          <w:rFonts w:ascii="Arial" w:cs="Arial" w:eastAsia="Arial" w:hAnsi="Arial"/>
          <w:b w:val="false"/>
          <w:bCs w:val="false"/>
          <w:i w:val="false"/>
          <w:iCs w:val="false"/>
          <w:color w:val="333333"/>
          <w:sz w:val="22"/>
          <w:szCs w:val="22"/>
        </w:rPr>
        <w:t xml:space="preserve">Issued by: Fazal Khan (CEO), Clau (COO, Claude Opus)</w:t>
      </w:r>
    </w:p>
    <w:p>
      <w:pPr>
        <w:spacing w:after="80" w:before="0" w:line="276"/>
        <w:jc w:val="center"/>
      </w:pPr>
      <w:r>
        <w:rPr>
          <w:rFonts w:ascii="Arial" w:cs="Arial" w:eastAsia="Arial" w:hAnsi="Arial"/>
          <w:b w:val="false"/>
          <w:bCs w:val="false"/>
          <w:i w:val="false"/>
          <w:iCs w:val="false"/>
          <w:color w:val="333333"/>
          <w:sz w:val="22"/>
          <w:szCs w:val="22"/>
        </w:rPr>
        <w:t xml:space="preserve">Reviewed by: CG (Chief Strategist), GEM (Business Advisor), GAI (Business Advisor)</w:t>
      </w:r>
    </w:p>
    <w:p>
      <w:pPr>
        <w:spacing w:after="80" w:before="0" w:line="276"/>
        <w:jc w:val="center"/>
      </w:pPr>
      <w:r>
        <w:rPr>
          <w:rFonts w:ascii="Arial" w:cs="Arial" w:eastAsia="Arial" w:hAnsi="Arial"/>
          <w:b w:val="false"/>
          <w:bCs w:val="false"/>
          <w:i w:val="false"/>
          <w:iCs w:val="false"/>
          <w:color w:val="333333"/>
          <w:sz w:val="22"/>
          <w:szCs w:val="22"/>
        </w:rPr>
        <w:t xml:space="preserve">Version 1.0 — April 2026 — Viabe.ai</w:t>
      </w:r>
    </w:p>
    <w:p>
      <w:pPr>
        <w:spacing w:after="160" w:before="0" w:line="276"/>
        <w:jc w:val="center"/>
      </w:pPr>
      <w:r>
        <w:rPr>
          <w:rFonts w:ascii="Arial" w:cs="Arial" w:eastAsia="Arial" w:hAnsi="Arial"/>
          <w:b/>
          <w:bCs/>
          <w:i w:val="false"/>
          <w:iCs w:val="false"/>
          <w:color w:val="333333"/>
          <w:sz w:val="22"/>
          <w:szCs w:val="22"/>
        </w:rPr>
        <w:t xml:space="preserve">This document is the single source of truth for Viabe Pulse.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Viabe.ai — Internal — </w:t>
    </w:r>
    <w:r>
      <w:rPr>
        <w:rFonts w:ascii="Arial" w:cs="Arial" w:eastAsia="Arial" w:hAnsi="Arial"/>
        <w:color w:val="999999"/>
        <w:sz w:val="18"/>
        <w:szCs w:val="18"/>
      </w:rPr>
      <w:t xml:space="preserve">Page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Viabe Pulse — Concept Note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2026-04-15T12:35:23.963Z</dcterms:created>
  <dcterms:modified xsi:type="dcterms:W3CDTF">2026-04-15T12:35:23.964Z</dcterms:modified>
</cp:coreProperties>
</file>

<file path=docProps/custom.xml><?xml version="1.0" encoding="utf-8"?>
<Properties xmlns="http://schemas.openxmlformats.org/officeDocument/2006/custom-properties" xmlns:vt="http://schemas.openxmlformats.org/officeDocument/2006/docPropsVTypes"/>
</file>