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F96B06"/>
          <w:sz w:val="72"/>
          <w:szCs w:val="72"/>
        </w:rPr>
        <w:t xml:space="preserve">VIABE TEAM</w:t>
      </w:r>
    </w:p>
    <w:p>
      <w:pPr>
        <w:spacing w:after="120"/>
        <w:jc w:val="center"/>
      </w:pPr>
      <w:r>
        <w:rPr>
          <w:i/>
          <w:iCs/>
          <w:color w:val="1A1A1A"/>
          <w:sz w:val="30"/>
          <w:szCs w:val="30"/>
        </w:rPr>
        <w:t xml:space="preserve">Aapki AI business team on WhatsApp</w:t>
      </w:r>
    </w:p>
    <w:p>
      <w:pPr>
        <w:spacing w:after="60" w:before="300"/>
        <w:jc w:val="center"/>
      </w:pPr>
      <w:r>
        <w:rPr>
          <w:color w:val="666666"/>
          <w:sz w:val="26"/>
          <w:szCs w:val="26"/>
        </w:rPr>
        <w:t xml:space="preserve">Concept Document · Investor Edition</w:t>
      </w:r>
    </w:p>
    <w:p>
      <w:pPr>
        <w:spacing w:after="60"/>
        <w:jc w:val="center"/>
      </w:pPr>
      <w:r>
        <w:rPr>
          <w:color w:val="666666"/>
          <w:sz w:val="24"/>
          <w:szCs w:val="24"/>
        </w:rPr>
        <w:t xml:space="preserve">Version 2.0 · July 2026</w:t>
      </w:r>
    </w:p>
    <w:p>
      <w:pPr>
        <w:spacing w:after="40" w:before="400"/>
        <w:jc w:val="center"/>
      </w:pPr>
      <w:r>
        <w:rPr>
          <w:color w:val="1A1A1A"/>
          <w:sz w:val="24"/>
          <w:szCs w:val="24"/>
        </w:rPr>
        <w:t xml:space="preserve">Fazal Khan — Chief Executive Officer</w:t>
      </w:r>
    </w:p>
    <w:p>
      <w:pPr>
        <w:spacing w:after="40"/>
        <w:jc w:val="center"/>
      </w:pPr>
      <w:r>
        <w:rPr>
          <w:color w:val="1A1A1A"/>
          <w:sz w:val="24"/>
          <w:szCs w:val="24"/>
        </w:rPr>
        <w:t xml:space="preserve">Clau — Architect</w:t>
      </w:r>
    </w:p>
    <w:p>
      <w:pPr>
        <w:spacing w:before="300"/>
        <w:jc w:val="center"/>
      </w:pPr>
      <w:r>
        <w:rPr>
          <w:color w:val="666666"/>
          <w:sz w:val="20"/>
          <w:szCs w:val="20"/>
        </w:rPr>
        <w:t xml:space="preserve">Viabe.ai · RKeCom Services OPC Pvt Ltd, Mumbai</w:t>
      </w:r>
    </w:p>
    <w:p>
      <w:pPr>
        <w:jc w:val="center"/>
      </w:pPr>
      <w:r>
        <w:rPr>
          <w:i/>
          <w:iCs/>
          <w:color w:val="666666"/>
          <w:sz w:val="18"/>
          <w:szCs w:val="18"/>
        </w:rPr>
        <w:t xml:space="preserve">Supersedes: Viabe Pulse Phase 1 Concept v1.0 (April 2026)</w:t>
      </w:r>
    </w:p>
    <w:p>
      <w:r>
        <w:br w:type="page"/>
      </w:r>
    </w:p>
    <w:p>
      <w:pPr>
        <w:pStyle w:val="Heading1"/>
        <w:spacing w:after="140" w:before="320"/>
      </w:pPr>
      <w:r>
        <w:rPr>
          <w:color w:val="F96B06"/>
        </w:rPr>
        <w:t xml:space="preserve">The Pitch</w:t>
      </w:r>
    </w:p>
    <w:p>
      <w:pPr>
        <w:pStyle w:val="Heading2"/>
        <w:spacing w:after="100" w:before="240"/>
      </w:pPr>
      <w:r>
        <w:rPr>
          <w:color w:val="1A1A1A"/>
        </w:rPr>
        <w:t xml:space="preserve">In ten seconds</w:t>
      </w:r>
    </w:p>
    <w:p>
      <w:pPr>
        <w:spacing w:after="120" w:line="300"/>
      </w:pPr>
      <w:r>
        <w:rPr>
          <w:i/>
          <w:iCs/>
          <w:color w:val="1A1A1A"/>
          <w:sz w:val="22"/>
          <w:szCs w:val="22"/>
        </w:rPr>
        <w:t xml:space="preserve">“Viabe Team is an AI business team on WhatsApp. It runs your business tasks for you — you just approve.”</w:t>
      </w:r>
    </w:p>
    <w:p>
      <w:pPr>
        <w:pStyle w:val="Heading2"/>
        <w:spacing w:after="100" w:before="240"/>
      </w:pPr>
      <w:r>
        <w:rPr>
          <w:color w:val="1A1A1A"/>
        </w:rPr>
        <w:t xml:space="preserve">In thirty seconds</w:t>
      </w:r>
    </w:p>
    <w:p>
      <w:pPr>
        <w:spacing w:after="120" w:line="300"/>
      </w:pPr>
      <w:r>
        <w:rPr>
          <w:i/>
          <w:iCs/>
          <w:color w:val="1A1A1A"/>
          <w:sz w:val="22"/>
          <w:szCs w:val="22"/>
        </w:rPr>
        <w:t xml:space="preserve">“Every small business owner in India already runs their business from WhatsApp — but they can’t afford staff. Viabe Team gives them an AI business manager, on WhatsApp, backed by specialist AI agents. It wins back lapsed customers, answers questions from their real business data, drafts and runs their campaigns, prepares their compliance — in Hindi, Hinglish, or English. Nothing reaches a customer and no money moves without the owner’s one-tap approval. ₹5,000 a month per agent — less than a part-time employee’s weekly wage, for a team member that never sleeps.”</w:t>
      </w:r>
    </w:p>
    <w:p>
      <w:pPr>
        <w:pStyle w:val="Heading2"/>
        <w:spacing w:after="100" w:before="240"/>
      </w:pPr>
      <w:r>
        <w:rPr>
          <w:color w:val="1A1A1A"/>
        </w:rPr>
        <w:t xml:space="preserve">In two minutes, add:</w:t>
      </w:r>
    </w:p>
    <w:p>
      <w:pPr>
        <w:pStyle w:val="ListParagraph"/>
        <w:numPr>
          <w:ilvl w:val="0"/>
          <w:numId w:val="2"/>
        </w:numPr>
        <w:spacing w:after="80" w:line="300"/>
      </w:pPr>
      <w:r>
        <w:rPr>
          <w:color w:val="1A1A1A"/>
          <w:sz w:val="22"/>
          <w:szCs w:val="22"/>
        </w:rPr>
        <w:t xml:space="preserve">How: one AI Manager holds the conversation, understands the goal, plans the work, and delegates to specialist agents (Sales Recovery live today; Compliance, Marketing, Finance following) that act through connected tools — Shopify, GST, Google Sheets, WhatsApp campaigns.</w:t>
      </w:r>
    </w:p>
    <w:p>
      <w:pPr>
        <w:pStyle w:val="ListParagraph"/>
        <w:numPr>
          <w:ilvl w:val="0"/>
          <w:numId w:val="2"/>
        </w:numPr>
        <w:spacing w:after="80" w:line="300"/>
      </w:pPr>
      <w:r>
        <w:rPr>
          <w:color w:val="1A1A1A"/>
          <w:sz w:val="22"/>
          <w:szCs w:val="22"/>
        </w:rPr>
        <w:t xml:space="preserve">Trust: every action that touches a customer or money passes deterministic gates — consent, opt-out, owner approval — and the system is architecturally unable to misreport a money action: every stated number is bound to the database before it can be said.</w:t>
      </w:r>
    </w:p>
    <w:p>
      <w:pPr>
        <w:pStyle w:val="ListParagraph"/>
        <w:numPr>
          <w:ilvl w:val="0"/>
          <w:numId w:val="2"/>
        </w:numPr>
        <w:spacing w:after="80" w:line="300"/>
      </w:pPr>
      <w:r>
        <w:rPr>
          <w:color w:val="1A1A1A"/>
          <w:sz w:val="22"/>
          <w:szCs w:val="22"/>
        </w:rPr>
        <w:t xml:space="preserve">The analogy investors know: Claude Code made software development autonomous for developers. Viabe Team does the same for running a small business — an owner delegates a business goal in one message, the AI team executes it end to end.</w:t>
      </w:r>
    </w:p>
    <w:p>
      <w:pPr>
        <w:spacing w:after="120" w:line="300"/>
      </w:pPr>
      <w:r>
        <w:rPr>
          <w:color w:val="1A1A1A"/>
          <w:sz w:val="22"/>
          <w:szCs w:val="22"/>
        </w:rPr>
        <w:t xml:space="preserve"/>
      </w:r>
    </w:p>
    <w:p>
      <w:pPr>
        <w:spacing w:after="120" w:line="300"/>
      </w:pPr>
      <w:r>
        <w:rPr>
          <w:b/>
          <w:bCs/>
          <w:color w:val="1A1A1A"/>
          <w:sz w:val="22"/>
          <w:szCs w:val="22"/>
        </w:rPr>
        <w:t xml:space="preserve">The one-line category: </w:t>
      </w:r>
      <w:r>
        <w:rPr>
          <w:color w:val="1A1A1A"/>
          <w:sz w:val="22"/>
          <w:szCs w:val="22"/>
        </w:rPr>
        <w:t xml:space="preserve">the AI employee for India’s 60+ million small businesses — delivered where they already work: WhatsApp.</w:t>
      </w:r>
    </w:p>
    <w:p>
      <w:r>
        <w:br w:type="page"/>
      </w:r>
    </w:p>
    <w:p>
      <w:pPr>
        <w:pStyle w:val="Heading1"/>
        <w:spacing w:after="140" w:before="320"/>
      </w:pPr>
      <w:r>
        <w:rPr>
          <w:color w:val="F96B06"/>
        </w:rPr>
        <w:t xml:space="preserve">1. The Problem</w:t>
      </w:r>
    </w:p>
    <w:p>
      <w:pPr>
        <w:spacing w:after="120" w:line="300"/>
      </w:pPr>
      <w:r>
        <w:rPr>
          <w:color w:val="1A1A1A"/>
          <w:sz w:val="22"/>
          <w:szCs w:val="22"/>
        </w:rPr>
        <w:t xml:space="preserve">India’s small business owner is the company’s entire management team. The same person serves customers, chases payments, runs offers, files GST, and answers every WhatsApp message — usually after closing time. Software has consistently failed this person for one reason: every tool demands that the owner become its operator. CRMs need data entry. Marketing platforms need campaign setup. Dashboards need reading. The owner doesn’t need another tool to operate — they need someone to do the work.</w:t>
      </w:r>
    </w:p>
    <w:p>
      <w:pPr>
        <w:spacing w:after="120" w:line="300"/>
      </w:pPr>
      <w:r>
        <w:rPr>
          <w:color w:val="1A1A1A"/>
          <w:sz w:val="22"/>
          <w:szCs w:val="22"/>
        </w:rPr>
        <w:t xml:space="preserve">Hiring is not the answer at this scale. A capable marketing or operations hire costs ₹25,000–50,000 a month — per function. The 60+ million businesses below that line run under-managed: lapsed customers never win back, campaigns never go out, insights stay buried in order histories.</w:t>
      </w:r>
    </w:p>
    <w:p>
      <w:pPr>
        <w:spacing w:after="120" w:line="300"/>
      </w:pPr>
      <w:r>
        <w:rPr>
          <w:b/>
          <w:bCs/>
          <w:color w:val="1A1A1A"/>
          <w:sz w:val="22"/>
          <w:szCs w:val="22"/>
        </w:rPr>
        <w:t xml:space="preserve">The gap is not information. It is execution. </w:t>
      </w:r>
    </w:p>
    <w:p>
      <w:pPr>
        <w:pStyle w:val="Heading1"/>
        <w:spacing w:after="140" w:before="320"/>
      </w:pPr>
      <w:r>
        <w:rPr>
          <w:color w:val="F96B06"/>
        </w:rPr>
        <w:t xml:space="preserve">2. The Product</w:t>
      </w:r>
    </w:p>
    <w:p>
      <w:pPr>
        <w:spacing w:after="120" w:line="300"/>
      </w:pPr>
      <w:r>
        <w:rPr>
          <w:color w:val="1A1A1A"/>
          <w:sz w:val="22"/>
          <w:szCs w:val="22"/>
        </w:rPr>
        <w:t xml:space="preserve">Viabe Team gives the owner an AI business team inside the app they already live in — WhatsApp. There is no dashboard to learn and no software to operate. The owner simply talks to their team:</w:t>
      </w:r>
    </w:p>
    <w:p>
      <w:pPr>
        <w:spacing w:after="120" w:line="300"/>
      </w:pPr>
      <w:r>
        <w:rPr>
          <w:i/>
          <w:iCs/>
          <w:color w:val="1A1A1A"/>
          <w:sz w:val="22"/>
          <w:szCs w:val="22"/>
        </w:rPr>
        <w:t xml:space="preserve">Owner: “kitne customers lapsed hain?”</w:t>
      </w:r>
      <w:r>
        <w:rPr>
          <w:color w:val="1A1A1A"/>
          <w:sz w:val="22"/>
          <w:szCs w:val="22"/>
        </w:rPr>
        <w:t xml:space="preserve">  →  grounded answer from their real ledger, in their language.</w:t>
      </w:r>
    </w:p>
    <w:p>
      <w:pPr>
        <w:spacing w:after="120" w:line="300"/>
      </w:pPr>
      <w:r>
        <w:rPr>
          <w:i/>
          <w:iCs/>
          <w:color w:val="1A1A1A"/>
          <w:sz w:val="22"/>
          <w:szCs w:val="22"/>
        </w:rPr>
        <w:t xml:space="preserve">Owner: “un lapsed customers ko winback bhejo”</w:t>
      </w:r>
      <w:r>
        <w:rPr>
          <w:color w:val="1A1A1A"/>
          <w:sz w:val="22"/>
          <w:szCs w:val="22"/>
        </w:rPr>
        <w:t xml:space="preserve">  →  the Sales Recovery agent builds the audience, drafts the personalised campaign, and asks for approval.</w:t>
      </w:r>
    </w:p>
    <w:p>
      <w:pPr>
        <w:spacing w:after="120" w:line="300"/>
      </w:pPr>
      <w:r>
        <w:rPr>
          <w:i/>
          <w:iCs/>
          <w:color w:val="1A1A1A"/>
          <w:sz w:val="22"/>
          <w:szCs w:val="22"/>
        </w:rPr>
        <w:t xml:space="preserve">Owner: “approved”</w:t>
      </w:r>
      <w:r>
        <w:rPr>
          <w:color w:val="1A1A1A"/>
          <w:sz w:val="22"/>
          <w:szCs w:val="22"/>
        </w:rPr>
        <w:t xml:space="preserve">  →  the campaign executes, and the confirmation states the true, database-verified count.</w:t>
      </w:r>
    </w:p>
    <w:p>
      <w:pPr>
        <w:spacing w:after="120" w:line="300"/>
      </w:pPr>
      <w:r>
        <w:rPr>
          <w:color w:val="1A1A1A"/>
          <w:sz w:val="22"/>
          <w:szCs w:val="22"/>
        </w:rPr>
        <w:t xml:space="preserve">Behind that conversation sits a three-layer architecture:</w:t>
      </w:r>
    </w:p>
    <w:p>
      <w:pPr>
        <w:pStyle w:val="ListParagraph"/>
        <w:numPr>
          <w:ilvl w:val="0"/>
          <w:numId w:val="2"/>
        </w:numPr>
        <w:spacing w:after="80" w:line="300"/>
      </w:pPr>
      <w:r>
        <w:rPr>
          <w:b/>
          <w:bCs/>
          <w:color w:val="1A1A1A"/>
          <w:sz w:val="22"/>
          <w:szCs w:val="22"/>
        </w:rPr>
        <w:t xml:space="preserve">The Manager — </w:t>
      </w:r>
      <w:r>
        <w:rPr>
          <w:color w:val="1A1A1A"/>
          <w:sz w:val="22"/>
          <w:szCs w:val="22"/>
        </w:rPr>
        <w:t xml:space="preserve">one always-on AI brain per business. It understands the owner’s goal in full context (it never re-asks a known fact), plans the work, delegates, validates every outcome, and is the only voice the owner ever hears.</w:t>
      </w:r>
    </w:p>
    <w:p>
      <w:pPr>
        <w:pStyle w:val="ListParagraph"/>
        <w:numPr>
          <w:ilvl w:val="0"/>
          <w:numId w:val="2"/>
        </w:numPr>
        <w:spacing w:after="80" w:line="300"/>
      </w:pPr>
      <w:r>
        <w:rPr>
          <w:b/>
          <w:bCs/>
          <w:color w:val="1A1A1A"/>
          <w:sz w:val="22"/>
          <w:szCs w:val="22"/>
        </w:rPr>
        <w:t xml:space="preserve">Specialist agents — </w:t>
      </w:r>
      <w:r>
        <w:rPr>
          <w:color w:val="1A1A1A"/>
          <w:sz w:val="22"/>
          <w:szCs w:val="22"/>
        </w:rPr>
        <w:t xml:space="preserve">modular AI experts the Manager engages per job: Sales Recovery (live), Onboarding (live), Compliance readiness (in build), with Marketing, Finance and more to follow. Each is a product the owner activates — and pays for — individually.</w:t>
      </w:r>
    </w:p>
    <w:p>
      <w:pPr>
        <w:pStyle w:val="ListParagraph"/>
        <w:numPr>
          <w:ilvl w:val="0"/>
          <w:numId w:val="2"/>
        </w:numPr>
        <w:spacing w:after="80" w:line="300"/>
      </w:pPr>
      <w:r>
        <w:rPr>
          <w:b/>
          <w:bCs/>
          <w:color w:val="1A1A1A"/>
          <w:sz w:val="22"/>
          <w:szCs w:val="22"/>
        </w:rPr>
        <w:t xml:space="preserve">Tools — </w:t>
      </w:r>
      <w:r>
        <w:rPr>
          <w:color w:val="1A1A1A"/>
          <w:sz w:val="22"/>
          <w:szCs w:val="22"/>
        </w:rPr>
        <w:t xml:space="preserve">governed connectors that do the actual work: Shopify, GST verification, Google Sheets, WhatsApp campaign delivery, file exports. Every tool is registered, permission-scoped, and — where it acts on the world — gated.</w:t>
      </w:r>
    </w:p>
    <w:p>
      <w:pPr>
        <w:spacing w:after="120" w:line="300"/>
      </w:pPr>
      <w:r>
        <w:rPr>
          <w:b/>
          <w:bCs/>
          <w:color w:val="1A1A1A"/>
          <w:sz w:val="22"/>
          <w:szCs w:val="22"/>
        </w:rPr>
        <w:t xml:space="preserve">The trust architecture is the product’s spine. </w:t>
      </w:r>
      <w:r>
        <w:rPr>
          <w:color w:val="1A1A1A"/>
          <w:sz w:val="22"/>
          <w:szCs w:val="22"/>
        </w:rPr>
        <w:t xml:space="preserve">AI decides; deterministic rails act. No message reaches a customer without consent checks and owner approval. Opt-outs are irreversible within a turn. And uniquely: the system cannot misstate a money action — any number the Manager reports about sends or spend is verified against the database before it can be uttered. We measure this: our release bar is zero trust-breaking incidents across a 30-run simulated-owner journey suite, and current builds hold it.</w:t>
      </w:r>
    </w:p>
    <w:p>
      <w:pPr>
        <w:pStyle w:val="Heading1"/>
        <w:spacing w:after="140" w:before="320"/>
      </w:pPr>
      <w:r>
        <w:rPr>
          <w:color w:val="F96B06"/>
        </w:rPr>
        <w:t xml:space="preserve">3. Why Now, Why WhatsApp, Why India</w:t>
      </w:r>
    </w:p>
    <w:p>
      <w:pPr>
        <w:pStyle w:val="ListParagraph"/>
        <w:numPr>
          <w:ilvl w:val="0"/>
          <w:numId w:val="2"/>
        </w:numPr>
        <w:spacing w:after="80" w:line="300"/>
      </w:pPr>
      <w:r>
        <w:rPr>
          <w:color w:val="1A1A1A"/>
          <w:sz w:val="22"/>
          <w:szCs w:val="22"/>
        </w:rPr>
        <w:t xml:space="preserve">Frontier LLMs crossed the reliability threshold for delegated business reasoning in 2025–26 — with the right deterministic guardrails, an AI manager can now be trusted to act, not just advise.</w:t>
      </w:r>
    </w:p>
    <w:p>
      <w:pPr>
        <w:pStyle w:val="ListParagraph"/>
        <w:numPr>
          <w:ilvl w:val="0"/>
          <w:numId w:val="2"/>
        </w:numPr>
        <w:spacing w:after="80" w:line="300"/>
      </w:pPr>
      <w:r>
        <w:rPr>
          <w:color w:val="1A1A1A"/>
          <w:sz w:val="22"/>
          <w:szCs w:val="22"/>
        </w:rPr>
        <w:t xml:space="preserve">WhatsApp is India’s de-facto business operating system — the owner’s customers, suppliers, and daily workflow already live there. Distribution is a contact card, not an app install.</w:t>
      </w:r>
    </w:p>
    <w:p>
      <w:pPr>
        <w:pStyle w:val="ListParagraph"/>
        <w:numPr>
          <w:ilvl w:val="0"/>
          <w:numId w:val="2"/>
        </w:numPr>
        <w:spacing w:after="80" w:line="300"/>
      </w:pPr>
      <w:r>
        <w:rPr>
          <w:color w:val="1A1A1A"/>
          <w:sz w:val="22"/>
          <w:szCs w:val="22"/>
        </w:rPr>
        <w:t xml:space="preserve">India’s digital-commerce long tail (Shopify/D2C stores, catalog sites) generates clean, connectable data — our launch persona — while UPI and GST digitisation keep expanding the reachable market.</w:t>
      </w:r>
    </w:p>
    <w:p>
      <w:pPr>
        <w:pStyle w:val="ListParagraph"/>
        <w:numPr>
          <w:ilvl w:val="0"/>
          <w:numId w:val="2"/>
        </w:numPr>
        <w:spacing w:after="80" w:line="300"/>
      </w:pPr>
      <w:r>
        <w:rPr>
          <w:color w:val="1A1A1A"/>
          <w:sz w:val="22"/>
          <w:szCs w:val="22"/>
        </w:rPr>
        <w:t xml:space="preserve">Agentic infrastructure matured: our Agent Capability Framework lets new specialist agents — including third-party-built ones — plug in under the same trust gates. A third-party AI builder is already developing our Compliance agent on this contract.</w:t>
      </w:r>
    </w:p>
    <w:p>
      <w:pPr>
        <w:pStyle w:val="Heading1"/>
        <w:spacing w:after="140" w:before="320"/>
      </w:pPr>
      <w:r>
        <w:rPr>
          <w:color w:val="F96B06"/>
        </w:rPr>
        <w:t xml:space="preserve">4. Business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DF0E6" w:val="clear"/>
            <w:tcMar>
              <w:top w:type="dxa" w:w="80"/>
              <w:left w:type="dxa" w:w="120"/>
              <w:bottom w:type="dxa" w:w="80"/>
              <w:right w:type="dxa" w:w="120"/>
            </w:tcMar>
          </w:tcPr>
          <w:p>
            <w:r>
              <w:rPr>
                <w:b/>
                <w:bCs/>
                <w:color w:val="1A1A1A"/>
                <w:sz w:val="20"/>
                <w:szCs w:val="20"/>
              </w:rPr>
              <w:t xml:space="preserve">Dimension</w:t>
            </w:r>
          </w:p>
        </w:tc>
        <w:tc>
          <w:tcPr>
            <w:tcW w:type="dxa" w:w="6800"/>
            <w:shd w:fill="FDF0E6" w:val="clear"/>
            <w:tcMar>
              <w:top w:type="dxa" w:w="80"/>
              <w:left w:type="dxa" w:w="120"/>
              <w:bottom w:type="dxa" w:w="80"/>
              <w:right w:type="dxa" w:w="120"/>
            </w:tcMar>
          </w:tcPr>
          <w:p>
            <w:r>
              <w:rPr>
                <w:b/>
                <w:bCs/>
                <w:color w:val="1A1A1A"/>
                <w:sz w:val="20"/>
                <w:szCs w:val="20"/>
              </w:rPr>
              <w:t xml:space="preserve">Model</w:t>
            </w:r>
          </w:p>
        </w:tc>
      </w:tr>
      <w:tr>
        <w:tc>
          <w:tcPr>
            <w:tcW w:type="dxa" w:w="2600"/>
            <w:tcMar>
              <w:top w:type="dxa" w:w="80"/>
              <w:left w:type="dxa" w:w="120"/>
              <w:bottom w:type="dxa" w:w="80"/>
              <w:right w:type="dxa" w:w="120"/>
            </w:tcMar>
          </w:tcPr>
          <w:p>
            <w:r>
              <w:rPr>
                <w:b w:val="false"/>
                <w:bCs w:val="false"/>
                <w:color w:val="1A1A1A"/>
                <w:sz w:val="20"/>
                <w:szCs w:val="20"/>
              </w:rPr>
              <w:t xml:space="preserve">Pricing</w:t>
            </w:r>
          </w:p>
        </w:tc>
        <w:tc>
          <w:tcPr>
            <w:tcW w:type="dxa" w:w="6800"/>
            <w:tcMar>
              <w:top w:type="dxa" w:w="80"/>
              <w:left w:type="dxa" w:w="120"/>
              <w:bottom w:type="dxa" w:w="80"/>
              <w:right w:type="dxa" w:w="120"/>
            </w:tcMar>
          </w:tcPr>
          <w:p>
            <w:r>
              <w:rPr>
                <w:b w:val="false"/>
                <w:bCs w:val="false"/>
                <w:color w:val="1A1A1A"/>
                <w:sz w:val="20"/>
                <w:szCs w:val="20"/>
              </w:rPr>
              <w:t xml:space="preserve">₹5,000 per specialist agent per month. Each agent carries a one-month free trial on first activation.</w:t>
            </w:r>
          </w:p>
        </w:tc>
      </w:tr>
      <w:tr>
        <w:tc>
          <w:tcPr>
            <w:tcW w:type="dxa" w:w="2600"/>
            <w:tcMar>
              <w:top w:type="dxa" w:w="80"/>
              <w:left w:type="dxa" w:w="120"/>
              <w:bottom w:type="dxa" w:w="80"/>
              <w:right w:type="dxa" w:w="120"/>
            </w:tcMar>
          </w:tcPr>
          <w:p>
            <w:r>
              <w:rPr>
                <w:b w:val="false"/>
                <w:bCs w:val="false"/>
                <w:color w:val="1A1A1A"/>
                <w:sz w:val="20"/>
                <w:szCs w:val="20"/>
              </w:rPr>
              <w:t xml:space="preserve">Land</w:t>
            </w:r>
          </w:p>
        </w:tc>
        <w:tc>
          <w:tcPr>
            <w:tcW w:type="dxa" w:w="6800"/>
            <w:tcMar>
              <w:top w:type="dxa" w:w="80"/>
              <w:left w:type="dxa" w:w="120"/>
              <w:bottom w:type="dxa" w:w="80"/>
              <w:right w:type="dxa" w:w="120"/>
            </w:tcMar>
          </w:tcPr>
          <w:p>
            <w:r>
              <w:rPr>
                <w:b w:val="false"/>
                <w:bCs w:val="false"/>
                <w:color w:val="1A1A1A"/>
                <w:sz w:val="20"/>
                <w:szCs w:val="20"/>
              </w:rPr>
              <w:t xml:space="preserve">Owner onboards free with the Manager; activates the first specialist (Sales Recovery) on trial.</w:t>
            </w:r>
          </w:p>
        </w:tc>
      </w:tr>
      <w:tr>
        <w:tc>
          <w:tcPr>
            <w:tcW w:type="dxa" w:w="2600"/>
            <w:tcMar>
              <w:top w:type="dxa" w:w="80"/>
              <w:left w:type="dxa" w:w="120"/>
              <w:bottom w:type="dxa" w:w="80"/>
              <w:right w:type="dxa" w:w="120"/>
            </w:tcMar>
          </w:tcPr>
          <w:p>
            <w:r>
              <w:rPr>
                <w:b w:val="false"/>
                <w:bCs w:val="false"/>
                <w:color w:val="1A1A1A"/>
                <w:sz w:val="20"/>
                <w:szCs w:val="20"/>
              </w:rPr>
              <w:t xml:space="preserve">Expand</w:t>
            </w:r>
          </w:p>
        </w:tc>
        <w:tc>
          <w:tcPr>
            <w:tcW w:type="dxa" w:w="6800"/>
            <w:tcMar>
              <w:top w:type="dxa" w:w="80"/>
              <w:left w:type="dxa" w:w="120"/>
              <w:bottom w:type="dxa" w:w="80"/>
              <w:right w:type="dxa" w:w="120"/>
            </w:tcMar>
          </w:tcPr>
          <w:p>
            <w:r>
              <w:rPr>
                <w:b w:val="false"/>
                <w:bCs w:val="false"/>
                <w:color w:val="1A1A1A"/>
                <w:sz w:val="20"/>
                <w:szCs w:val="20"/>
              </w:rPr>
              <w:t xml:space="preserve">Growth = adding team members: Compliance, Marketing, Finance agents each add ₹5,000/month. The architecture makes every new agent a plug-in, not a rebuild.</w:t>
            </w:r>
          </w:p>
        </w:tc>
      </w:tr>
      <w:tr>
        <w:tc>
          <w:tcPr>
            <w:tcW w:type="dxa" w:w="2600"/>
            <w:tcMar>
              <w:top w:type="dxa" w:w="80"/>
              <w:left w:type="dxa" w:w="120"/>
              <w:bottom w:type="dxa" w:w="80"/>
              <w:right w:type="dxa" w:w="120"/>
            </w:tcMar>
          </w:tcPr>
          <w:p>
            <w:r>
              <w:rPr>
                <w:b w:val="false"/>
                <w:bCs w:val="false"/>
                <w:color w:val="1A1A1A"/>
                <w:sz w:val="20"/>
                <w:szCs w:val="20"/>
              </w:rPr>
              <w:t xml:space="preserve">Launch mode</w:t>
            </w:r>
          </w:p>
        </w:tc>
        <w:tc>
          <w:tcPr>
            <w:tcW w:type="dxa" w:w="6800"/>
            <w:tcMar>
              <w:top w:type="dxa" w:w="80"/>
              <w:left w:type="dxa" w:w="120"/>
              <w:bottom w:type="dxa" w:w="80"/>
              <w:right w:type="dxa" w:w="120"/>
            </w:tcMar>
          </w:tcPr>
          <w:p>
            <w:r>
              <w:rPr>
                <w:b w:val="false"/>
                <w:bCs w:val="false"/>
                <w:color w:val="1A1A1A"/>
                <w:sz w:val="20"/>
                <w:szCs w:val="20"/>
              </w:rPr>
              <w:t xml:space="preserve">Concierge: a human reviewer oversees every consequential action for early tenants. Autonomy is earned per capability from measured clean outcomes — never assumed. The concierge layer doubles as our training-data and trust engine.</w:t>
            </w:r>
          </w:p>
        </w:tc>
      </w:tr>
      <w:tr>
        <w:tc>
          <w:tcPr>
            <w:tcW w:type="dxa" w:w="2600"/>
            <w:tcMar>
              <w:top w:type="dxa" w:w="80"/>
              <w:left w:type="dxa" w:w="120"/>
              <w:bottom w:type="dxa" w:w="80"/>
              <w:right w:type="dxa" w:w="120"/>
            </w:tcMar>
          </w:tcPr>
          <w:p>
            <w:r>
              <w:rPr>
                <w:b w:val="false"/>
                <w:bCs w:val="false"/>
                <w:color w:val="1A1A1A"/>
                <w:sz w:val="20"/>
                <w:szCs w:val="20"/>
              </w:rPr>
              <w:t xml:space="preserve">Cost posture</w:t>
            </w:r>
          </w:p>
        </w:tc>
        <w:tc>
          <w:tcPr>
            <w:tcW w:type="dxa" w:w="6800"/>
            <w:tcMar>
              <w:top w:type="dxa" w:w="80"/>
              <w:left w:type="dxa" w:w="120"/>
              <w:bottom w:type="dxa" w:w="80"/>
              <w:right w:type="dxa" w:w="120"/>
            </w:tcMar>
          </w:tcPr>
          <w:p>
            <w:r>
              <w:rPr>
                <w:b w:val="false"/>
                <w:bCs w:val="false"/>
                <w:color w:val="1A1A1A"/>
                <w:sz w:val="20"/>
                <w:szCs w:val="20"/>
              </w:rPr>
              <w:t xml:space="preserve">AI-native company: a two-seat leadership (CEO + AI Architect) with AI executing engineering, delivery, and review. Marginal cost per tenant is LLM usage + messaging, and both are managed per-tier with measured unit economics.</w:t>
            </w:r>
          </w:p>
        </w:tc>
      </w:tr>
    </w:tbl>
    <w:p>
      <w:pPr>
        <w:spacing w:after="120" w:line="300"/>
      </w:pPr>
      <w:r>
        <w:rPr>
          <w:color w:val="1A1A1A"/>
          <w:sz w:val="22"/>
          <w:szCs w:val="22"/>
        </w:rPr>
        <w:t xml:space="preserve"/>
      </w:r>
    </w:p>
    <w:p>
      <w:pPr>
        <w:spacing w:after="120" w:line="300"/>
      </w:pPr>
      <w:r>
        <w:rPr>
          <w:color w:val="1A1A1A"/>
          <w:sz w:val="22"/>
          <w:szCs w:val="22"/>
        </w:rPr>
        <w:t xml:space="preserve">Deliberately absent: per-seat pricing (owners are one person), usage meters the owner can’t predict, and long onboarding fees. The owner’s mental model is hiring: one team member, one salary, cancel anytime.</w:t>
      </w:r>
    </w:p>
    <w:p>
      <w:pPr>
        <w:pStyle w:val="Heading1"/>
        <w:spacing w:after="140" w:before="320"/>
      </w:pPr>
      <w:r>
        <w:rPr>
          <w:color w:val="F96B06"/>
        </w:rPr>
        <w:t xml:space="preserve">5. Market and Wedge</w:t>
      </w:r>
    </w:p>
    <w:p>
      <w:pPr>
        <w:spacing w:after="120" w:line="300"/>
      </w:pPr>
      <w:r>
        <w:rPr>
          <w:color w:val="1A1A1A"/>
          <w:sz w:val="22"/>
          <w:szCs w:val="22"/>
        </w:rPr>
        <w:t xml:space="preserve">India has 60+ million MSMEs; the serviceable segment — businesses with digital sales trails (online stores, catalog sites, digital payments) — is in the millions of outlets and growing with every UPI and ONDC cycle. We enter through online-presence businesses (Shopify and D2C stores) because their connected data lets the AI team prove value in week one, then widen to the broader retail and services base as connectors and agents expand.</w:t>
      </w:r>
    </w:p>
    <w:p>
      <w:pPr>
        <w:spacing w:after="120" w:line="300"/>
      </w:pPr>
      <w:r>
        <w:rPr>
          <w:color w:val="1A1A1A"/>
          <w:sz w:val="22"/>
          <w:szCs w:val="22"/>
        </w:rPr>
        <w:t xml:space="preserve">The wedge job is the original Viabe insight, unchanged since inception: dormant customers are a small business’s largest hidden revenue pool, and winning them back is the fastest measurable proof that an AI team pays for itself.</w:t>
      </w:r>
    </w:p>
    <w:p>
      <w:pPr>
        <w:pStyle w:val="Heading1"/>
        <w:spacing w:after="140" w:before="320"/>
      </w:pPr>
      <w:r>
        <w:rPr>
          <w:color w:val="F96B06"/>
        </w:rPr>
        <w:t xml:space="preserve">6. Competition and Moat</w:t>
      </w:r>
    </w:p>
    <w:p>
      <w:pPr>
        <w:spacing w:after="120" w:line="300"/>
      </w:pPr>
      <w:r>
        <w:rPr>
          <w:color w:val="1A1A1A"/>
          <w:sz w:val="22"/>
          <w:szCs w:val="22"/>
        </w:rPr>
        <w:t xml:space="preserve">Horizontal AI copilots — including the majors’ small-business offerings — help an owner do their own back-office work at a desktop. Viabe Team occupies a different category: it is the worker, not the copilot; it operates the customer-facing channel (consented WhatsApp campaigns), not just internal tools; and it lives on the phone, in the owner’s language. We complement the model providers — we build on frontier LLMs — and compete only for the job of running the business.</w:t>
      </w:r>
    </w:p>
    <w:p>
      <w:pPr>
        <w:spacing w:after="120" w:line="300"/>
      </w:pPr>
      <w:r>
        <w:rPr>
          <w:color w:val="1A1A1A"/>
          <w:sz w:val="22"/>
          <w:szCs w:val="22"/>
        </w:rPr>
        <w:t xml:space="preserve">The moat compounds in four layers:</w:t>
      </w:r>
    </w:p>
    <w:p>
      <w:pPr>
        <w:pStyle w:val="ListParagraph"/>
        <w:numPr>
          <w:ilvl w:val="0"/>
          <w:numId w:val="2"/>
        </w:numPr>
        <w:spacing w:after="80" w:line="300"/>
      </w:pPr>
      <w:r>
        <w:rPr>
          <w:b/>
          <w:bCs/>
          <w:color w:val="1A1A1A"/>
          <w:sz w:val="22"/>
          <w:szCs w:val="22"/>
        </w:rPr>
        <w:t xml:space="preserve">Trust architecture: </w:t>
      </w:r>
      <w:r>
        <w:rPr>
          <w:color w:val="1A1A1A"/>
          <w:sz w:val="22"/>
          <w:szCs w:val="22"/>
        </w:rPr>
        <w:t xml:space="preserve">deterministic effect gates and database-bound truthfulness — the engineering that makes autonomy safe — is our deepest, hardest-to-copy asset, proven by a measured zero-trust-breaker release bar.</w:t>
      </w:r>
    </w:p>
    <w:p>
      <w:pPr>
        <w:pStyle w:val="ListParagraph"/>
        <w:numPr>
          <w:ilvl w:val="0"/>
          <w:numId w:val="2"/>
        </w:numPr>
        <w:spacing w:after="80" w:line="300"/>
      </w:pPr>
      <w:r>
        <w:rPr>
          <w:b/>
          <w:bCs/>
          <w:color w:val="1A1A1A"/>
          <w:sz w:val="22"/>
          <w:szCs w:val="22"/>
        </w:rPr>
        <w:t xml:space="preserve">India rails: </w:t>
      </w:r>
      <w:r>
        <w:rPr>
          <w:color w:val="1A1A1A"/>
          <w:sz w:val="22"/>
          <w:szCs w:val="22"/>
        </w:rPr>
        <w:t xml:space="preserve">GST verification, DPDP-conscious data handling, Meta template compliance, Hindi/Hinglish register — expensive, local, and mandatory.</w:t>
      </w:r>
    </w:p>
    <w:p>
      <w:pPr>
        <w:pStyle w:val="ListParagraph"/>
        <w:numPr>
          <w:ilvl w:val="0"/>
          <w:numId w:val="2"/>
        </w:numPr>
        <w:spacing w:after="80" w:line="300"/>
      </w:pPr>
      <w:r>
        <w:rPr>
          <w:b/>
          <w:bCs/>
          <w:color w:val="1A1A1A"/>
          <w:sz w:val="22"/>
          <w:szCs w:val="22"/>
        </w:rPr>
        <w:t xml:space="preserve">Per-tenant learning: </w:t>
      </w:r>
      <w:r>
        <w:rPr>
          <w:color w:val="1A1A1A"/>
          <w:sz w:val="22"/>
          <w:szCs w:val="22"/>
        </w:rPr>
        <w:t xml:space="preserve">every run feeds a per-business memory; the team gets measurably better at each specific business — switching away means firing a team that knows you.</w:t>
      </w:r>
    </w:p>
    <w:p>
      <w:pPr>
        <w:pStyle w:val="ListParagraph"/>
        <w:numPr>
          <w:ilvl w:val="0"/>
          <w:numId w:val="2"/>
        </w:numPr>
        <w:spacing w:after="80" w:line="300"/>
      </w:pPr>
      <w:r>
        <w:rPr>
          <w:b/>
          <w:bCs/>
          <w:color w:val="1A1A1A"/>
          <w:sz w:val="22"/>
          <w:szCs w:val="22"/>
        </w:rPr>
        <w:t xml:space="preserve">Platform gravity: </w:t>
      </w:r>
      <w:r>
        <w:rPr>
          <w:color w:val="1A1A1A"/>
          <w:sz w:val="22"/>
          <w:szCs w:val="22"/>
        </w:rPr>
        <w:t xml:space="preserve">the Agent Capability Framework turns Viabe into the venue where specialist business agents — ours and third parties’ — are published under one trust contract, with per-agent billing built in.</w:t>
      </w:r>
    </w:p>
    <w:p>
      <w:pPr>
        <w:pStyle w:val="Heading1"/>
        <w:spacing w:after="140" w:before="320"/>
      </w:pPr>
      <w:r>
        <w:rPr>
          <w:color w:val="F96B06"/>
        </w:rPr>
        <w:t xml:space="preserve">7. What Is Already Built</w:t>
      </w:r>
    </w:p>
    <w:p>
      <w:pPr>
        <w:pStyle w:val="ListParagraph"/>
        <w:numPr>
          <w:ilvl w:val="0"/>
          <w:numId w:val="2"/>
        </w:numPr>
        <w:spacing w:after="80" w:line="300"/>
      </w:pPr>
      <w:r>
        <w:rPr>
          <w:color w:val="1A1A1A"/>
          <w:sz w:val="22"/>
          <w:szCs w:val="22"/>
        </w:rPr>
        <w:t xml:space="preserve">The full product loop is live in our staging environment: onboarding with GST-verified signup, Shopify connection, conversational Manager, Sales Recovery win-backs with owner approval, real WhatsApp delivery — exercised end-to-end by the founder as a real tenant.</w:t>
      </w:r>
    </w:p>
    <w:p>
      <w:pPr>
        <w:pStyle w:val="ListParagraph"/>
        <w:numPr>
          <w:ilvl w:val="0"/>
          <w:numId w:val="2"/>
        </w:numPr>
        <w:spacing w:after="80" w:line="300"/>
      </w:pPr>
      <w:r>
        <w:rPr>
          <w:color w:val="1A1A1A"/>
          <w:sz w:val="22"/>
          <w:szCs w:val="22"/>
        </w:rPr>
        <w:t xml:space="preserve">Trust floor measured, not asserted: a 10-journey simulated-owner suite (multiple runs per journey, adversarial personas, blind AI judge plus deterministic database asserts) currently scores zero trust-breakers with 100% quality-acceptable conversations on release candidates.</w:t>
      </w:r>
    </w:p>
    <w:p>
      <w:pPr>
        <w:pStyle w:val="ListParagraph"/>
        <w:numPr>
          <w:ilvl w:val="0"/>
          <w:numId w:val="2"/>
        </w:numPr>
        <w:spacing w:after="80" w:line="300"/>
      </w:pPr>
      <w:r>
        <w:rPr>
          <w:color w:val="1A1A1A"/>
          <w:sz w:val="22"/>
          <w:szCs w:val="22"/>
        </w:rPr>
        <w:t xml:space="preserve">Agent Capability Framework ratified and live: 80+ registered tool surfaces, per-agent capability manifests, sufficiency and safety conformance checks, and a third-party builder already producing a Compliance agent against the published contract.</w:t>
      </w:r>
    </w:p>
    <w:p>
      <w:pPr>
        <w:pStyle w:val="ListParagraph"/>
        <w:numPr>
          <w:ilvl w:val="0"/>
          <w:numId w:val="2"/>
        </w:numPr>
        <w:spacing w:after="80" w:line="300"/>
      </w:pPr>
      <w:r>
        <w:rPr>
          <w:color w:val="1A1A1A"/>
          <w:sz w:val="22"/>
          <w:szCs w:val="22"/>
        </w:rPr>
        <w:t xml:space="preserve">Production promotion in motion: the codebase is through its production gate; infrastructure (Mumbai data residency) is staged for the commercial launch window.</w:t>
      </w:r>
    </w:p>
    <w:p>
      <w:pPr>
        <w:pStyle w:val="ListParagraph"/>
        <w:numPr>
          <w:ilvl w:val="0"/>
          <w:numId w:val="2"/>
        </w:numPr>
        <w:spacing w:after="80" w:line="300"/>
      </w:pPr>
      <w:r>
        <w:rPr>
          <w:color w:val="1A1A1A"/>
          <w:sz w:val="22"/>
          <w:szCs w:val="22"/>
        </w:rPr>
        <w:t xml:space="preserve">Operating proof of the AI-native model: the entire system — approximately 800 production commits — was designed, built, reviewed, and validated by the two-seat human+AI leadership described below.</w:t>
      </w:r>
    </w:p>
    <w:p>
      <w:pPr>
        <w:pStyle w:val="Heading1"/>
        <w:spacing w:after="140" w:before="320"/>
      </w:pPr>
      <w:r>
        <w:rPr>
          <w:color w:val="F96B06"/>
        </w:rPr>
        <w:t xml:space="preserve">8.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FDF0E6" w:val="clear"/>
            <w:tcMar>
              <w:top w:type="dxa" w:w="80"/>
              <w:left w:type="dxa" w:w="120"/>
              <w:bottom w:type="dxa" w:w="80"/>
              <w:right w:type="dxa" w:w="120"/>
            </w:tcMar>
          </w:tcPr>
          <w:p>
            <w:r>
              <w:rPr>
                <w:b/>
                <w:bCs/>
                <w:color w:val="1A1A1A"/>
                <w:sz w:val="20"/>
                <w:szCs w:val="20"/>
              </w:rPr>
              <w:t xml:space="preserve">Horizon</w:t>
            </w:r>
          </w:p>
        </w:tc>
        <w:tc>
          <w:tcPr>
            <w:tcW w:type="dxa" w:w="7200"/>
            <w:shd w:fill="FDF0E6" w:val="clear"/>
            <w:tcMar>
              <w:top w:type="dxa" w:w="80"/>
              <w:left w:type="dxa" w:w="120"/>
              <w:bottom w:type="dxa" w:w="80"/>
              <w:right w:type="dxa" w:w="120"/>
            </w:tcMar>
          </w:tcPr>
          <w:p>
            <w:r>
              <w:rPr>
                <w:b/>
                <w:bCs/>
                <w:color w:val="1A1A1A"/>
                <w:sz w:val="20"/>
                <w:szCs w:val="20"/>
              </w:rPr>
              <w:t xml:space="preserve">Milestone</w:t>
            </w:r>
          </w:p>
        </w:tc>
      </w:tr>
      <w:tr>
        <w:tc>
          <w:tcPr>
            <w:tcW w:type="dxa" w:w="2200"/>
            <w:tcMar>
              <w:top w:type="dxa" w:w="80"/>
              <w:left w:type="dxa" w:w="120"/>
              <w:bottom w:type="dxa" w:w="80"/>
              <w:right w:type="dxa" w:w="120"/>
            </w:tcMar>
          </w:tcPr>
          <w:p>
            <w:r>
              <w:rPr>
                <w:b w:val="false"/>
                <w:bCs w:val="false"/>
                <w:color w:val="1A1A1A"/>
                <w:sz w:val="20"/>
                <w:szCs w:val="20"/>
              </w:rPr>
              <w:t xml:space="preserve">Now</w:t>
            </w:r>
          </w:p>
        </w:tc>
        <w:tc>
          <w:tcPr>
            <w:tcW w:type="dxa" w:w="7200"/>
            <w:tcMar>
              <w:top w:type="dxa" w:w="80"/>
              <w:left w:type="dxa" w:w="120"/>
              <w:bottom w:type="dxa" w:w="80"/>
              <w:right w:type="dxa" w:w="120"/>
            </w:tcMar>
          </w:tcPr>
          <w:p>
            <w:r>
              <w:rPr>
                <w:b w:val="false"/>
                <w:bCs w:val="false"/>
                <w:color w:val="1A1A1A"/>
                <w:sz w:val="20"/>
                <w:szCs w:val="20"/>
              </w:rPr>
              <w:t xml:space="preserve">Concierge launch with design partners (online-presence businesses). Sales Recovery + Onboarding live; human reviewer on every consequential action.</w:t>
            </w:r>
          </w:p>
        </w:tc>
      </w:tr>
      <w:tr>
        <w:tc>
          <w:tcPr>
            <w:tcW w:type="dxa" w:w="2200"/>
            <w:tcMar>
              <w:top w:type="dxa" w:w="80"/>
              <w:left w:type="dxa" w:w="120"/>
              <w:bottom w:type="dxa" w:w="80"/>
              <w:right w:type="dxa" w:w="120"/>
            </w:tcMar>
          </w:tcPr>
          <w:p>
            <w:r>
              <w:rPr>
                <w:b w:val="false"/>
                <w:bCs w:val="false"/>
                <w:color w:val="1A1A1A"/>
                <w:sz w:val="20"/>
                <w:szCs w:val="20"/>
              </w:rPr>
              <w:t xml:space="preserve">Next</w:t>
            </w:r>
          </w:p>
        </w:tc>
        <w:tc>
          <w:tcPr>
            <w:tcW w:type="dxa" w:w="7200"/>
            <w:tcMar>
              <w:top w:type="dxa" w:w="80"/>
              <w:left w:type="dxa" w:w="120"/>
              <w:bottom w:type="dxa" w:w="80"/>
              <w:right w:type="dxa" w:w="120"/>
            </w:tcMar>
          </w:tcPr>
          <w:p>
            <w:r>
              <w:rPr>
                <w:b w:val="false"/>
                <w:bCs w:val="false"/>
                <w:color w:val="1A1A1A"/>
                <w:sz w:val="20"/>
                <w:szCs w:val="20"/>
              </w:rPr>
              <w:t xml:space="preserve">Compliance (GST readiness) and Marketing agents; business-judgment quality scoring; per-capability autonomy graduation — the reviewer steps back as measured accuracy earns it.</w:t>
            </w:r>
          </w:p>
        </w:tc>
      </w:tr>
      <w:tr>
        <w:tc>
          <w:tcPr>
            <w:tcW w:type="dxa" w:w="2200"/>
            <w:tcMar>
              <w:top w:type="dxa" w:w="80"/>
              <w:left w:type="dxa" w:w="120"/>
              <w:bottom w:type="dxa" w:w="80"/>
              <w:right w:type="dxa" w:w="120"/>
            </w:tcMar>
          </w:tcPr>
          <w:p>
            <w:r>
              <w:rPr>
                <w:b w:val="false"/>
                <w:bCs w:val="false"/>
                <w:color w:val="1A1A1A"/>
                <w:sz w:val="20"/>
                <w:szCs w:val="20"/>
              </w:rPr>
              <w:t xml:space="preserve">Then</w:t>
            </w:r>
          </w:p>
        </w:tc>
        <w:tc>
          <w:tcPr>
            <w:tcW w:type="dxa" w:w="7200"/>
            <w:tcMar>
              <w:top w:type="dxa" w:w="80"/>
              <w:left w:type="dxa" w:w="120"/>
              <w:bottom w:type="dxa" w:w="80"/>
              <w:right w:type="dxa" w:w="120"/>
            </w:tcMar>
          </w:tcPr>
          <w:p>
            <w:r>
              <w:rPr>
                <w:b w:val="false"/>
                <w:bCs w:val="false"/>
                <w:color w:val="1A1A1A"/>
                <w:sz w:val="20"/>
                <w:szCs w:val="20"/>
              </w:rPr>
              <w:t xml:space="preserve">The learning loop and proactive sensing: the team notices (a sales dip, a compliance date, a dormant spike) and initiates work itself — the owner approves rather than instructs.</w:t>
            </w:r>
          </w:p>
        </w:tc>
      </w:tr>
      <w:tr>
        <w:tc>
          <w:tcPr>
            <w:tcW w:type="dxa" w:w="2200"/>
            <w:tcMar>
              <w:top w:type="dxa" w:w="80"/>
              <w:left w:type="dxa" w:w="120"/>
              <w:bottom w:type="dxa" w:w="80"/>
              <w:right w:type="dxa" w:w="120"/>
            </w:tcMar>
          </w:tcPr>
          <w:p>
            <w:r>
              <w:rPr>
                <w:b w:val="false"/>
                <w:bCs w:val="false"/>
                <w:color w:val="1A1A1A"/>
                <w:sz w:val="20"/>
                <w:szCs w:val="20"/>
              </w:rPr>
              <w:t xml:space="preserve">Horizon</w:t>
            </w:r>
          </w:p>
        </w:tc>
        <w:tc>
          <w:tcPr>
            <w:tcW w:type="dxa" w:w="7200"/>
            <w:tcMar>
              <w:top w:type="dxa" w:w="80"/>
              <w:left w:type="dxa" w:w="120"/>
              <w:bottom w:type="dxa" w:w="80"/>
              <w:right w:type="dxa" w:w="120"/>
            </w:tcMar>
          </w:tcPr>
          <w:p>
            <w:r>
              <w:rPr>
                <w:b w:val="false"/>
                <w:bCs w:val="false"/>
                <w:color w:val="1A1A1A"/>
                <w:sz w:val="20"/>
                <w:szCs w:val="20"/>
              </w:rPr>
              <w:t xml:space="preserve">The open agent platform: third-party specialist agents publishing into Viabe’s trust framework, per-agent revenue share — the app store of AI business employees.</w:t>
            </w:r>
          </w:p>
        </w:tc>
      </w:tr>
    </w:tbl>
    <w:p>
      <w:pPr>
        <w:pStyle w:val="Heading1"/>
        <w:spacing w:after="140" w:before="320"/>
      </w:pPr>
      <w:r>
        <w:rPr>
          <w:color w:val="F96B06"/>
        </w:rPr>
        <w:t xml:space="preserve">9. Team and Operating Model</w:t>
      </w:r>
    </w:p>
    <w:p>
      <w:pPr>
        <w:spacing w:after="120" w:line="300"/>
      </w:pPr>
      <w:r>
        <w:rPr>
          <w:b/>
          <w:bCs/>
          <w:color w:val="1A1A1A"/>
          <w:sz w:val="22"/>
          <w:szCs w:val="22"/>
        </w:rPr>
        <w:t xml:space="preserve">Fazal Khan — Chief Executive Officer. </w:t>
      </w:r>
      <w:r>
        <w:rPr>
          <w:color w:val="1A1A1A"/>
          <w:sz w:val="22"/>
          <w:szCs w:val="22"/>
        </w:rPr>
        <w:t xml:space="preserve">Product, market, and every consequential judgment: approvals, pricing, launch, and the human relationships — design partners, reviewers, regulators. Two decades of commerce-technology operating experience through RKeCom.</w:t>
      </w:r>
    </w:p>
    <w:p>
      <w:pPr>
        <w:spacing w:after="120" w:line="300"/>
      </w:pPr>
      <w:r>
        <w:rPr>
          <w:b/>
          <w:bCs/>
          <w:color w:val="1A1A1A"/>
          <w:sz w:val="22"/>
          <w:szCs w:val="22"/>
        </w:rPr>
        <w:t xml:space="preserve">Clau — Architect. </w:t>
      </w:r>
      <w:r>
        <w:rPr>
          <w:color w:val="1A1A1A"/>
          <w:sz w:val="22"/>
          <w:szCs w:val="22"/>
        </w:rPr>
        <w:t xml:space="preserve">The AI architect seat: designs the system, runs delivery and review end to end, maintains the objectives scoreboard and decision ledger, and enforces the trust gates. Clau operates as a governed AI executive — with explicit authority boundaries: production changes, money paths, and scope all require the CEO’s word.</w:t>
      </w:r>
    </w:p>
    <w:p>
      <w:pPr>
        <w:spacing w:after="120" w:line="300"/>
      </w:pPr>
      <w:r>
        <w:rPr>
          <w:color w:val="1A1A1A"/>
          <w:sz w:val="22"/>
          <w:szCs w:val="22"/>
        </w:rPr>
        <w:t xml:space="preserve">This two-seat structure is not a staffing gap — it is the company’s core demonstration. Viabe Team sells governed AI execution to small businesses; the company itself runs on governed AI execution. Our own operating discipline — decision ledgers, deterministic gates, measured trust bars — is the same product we ship. A human reviewer network (Viabe Team Reviewers) scales the concierge layer as tenants grow.</w:t>
      </w:r>
    </w:p>
    <w:p>
      <w:pPr>
        <w:pStyle w:val="Heading1"/>
        <w:spacing w:after="140" w:before="320"/>
      </w:pPr>
      <w:r>
        <w:rPr>
          <w:color w:val="F96B06"/>
        </w:rPr>
        <w:t xml:space="preserve">10. Status and the Ask</w:t>
      </w:r>
    </w:p>
    <w:p>
      <w:pPr>
        <w:spacing w:after="120" w:line="300"/>
      </w:pPr>
      <w:r>
        <w:rPr>
          <w:color w:val="1A1A1A"/>
          <w:sz w:val="22"/>
          <w:szCs w:val="22"/>
        </w:rPr>
        <w:t xml:space="preserve">Viabe Team is at the commercial starting line: product loop live, trust bar measured at zero breakers, production infrastructure staged, and a concierge launch with design partners imminent. The near-term plan is deliberately narrow — prove recovered-revenue outcomes with the first cohort, graduate autonomy capability by capability, and expand the agent roster on the platform contract already in place.</w:t>
      </w:r>
    </w:p>
    <w:p>
      <w:pPr>
        <w:spacing w:after="200"/>
      </w:pPr>
      <w:r>
        <w:rPr>
          <w:i/>
          <w:iCs/>
          <w:color w:val="1A1A1A"/>
          <w:sz w:val="22"/>
          <w:szCs w:val="22"/>
        </w:rPr>
        <w:t xml:space="preserve">[Funding ask, use of funds, and financial projections — to be finalised by the CEO for the specific investor conversation.]</w:t>
      </w:r>
    </w:p>
    <w:p>
      <w:pPr>
        <w:spacing w:before="200"/>
        <w:jc w:val="center"/>
      </w:pPr>
      <w:r>
        <w:rPr>
          <w:b/>
          <w:bCs/>
          <w:i/>
          <w:iCs/>
          <w:color w:val="F96B06"/>
          <w:sz w:val="24"/>
          <w:szCs w:val="24"/>
        </w:rPr>
        <w:t xml:space="preserve">Viabe Team — aapki AI business team on WhatsApp.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2026-07-22T08:47:22.980Z</dcterms:created>
  <dcterms:modified xsi:type="dcterms:W3CDTF">2026-07-22T08:47:22.980Z</dcterms:modified>
</cp:coreProperties>
</file>

<file path=docProps/custom.xml><?xml version="1.0" encoding="utf-8"?>
<Properties xmlns="http://schemas.openxmlformats.org/officeDocument/2006/custom-properties" xmlns:vt="http://schemas.openxmlformats.org/officeDocument/2006/docPropsVTypes"/>
</file>