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Viabe.ai — Privacy Notice</w:t>
      </w:r>
    </w:p>
    <w:p>
      <w:pPr>
        <w:spacing w:after="200"/>
      </w:pPr>
      <w:r>
        <w:rPr>
          <w:rFonts w:ascii="Arial" w:cs="Arial" w:eastAsia="Arial" w:hAnsi="Arial"/>
          <w:b/>
          <w:bCs/>
          <w:color w:val="B22222"/>
          <w:sz w:val="24"/>
          <w:szCs w:val="24"/>
        </w:rPr>
        <w:t xml:space="preserve">LAWYER-FACING WORKING DRAFT — NOT FOR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9E7" w:val="clear"/>
            <w:tcMar>
              <w:top w:type="dxa" w:w="120"/>
              <w:left w:type="dxa" w:w="160"/>
              <w:bottom w:type="dxa" w:w="120"/>
              <w:right w:type="dxa" w:w="160"/>
            </w:tcMar>
          </w:tcPr>
          <w:p>
            <w:pPr>
              <w:spacing w:after="120"/>
            </w:pPr>
            <w:r>
              <w:rPr>
                <w:rFonts w:ascii="Arial" w:cs="Arial" w:eastAsia="Arial" w:hAnsi="Arial"/>
                <w:b/>
                <w:bCs/>
              </w:rPr>
              <w:t xml:space="preserve">Status: </w:t>
            </w:r>
            <w:r>
              <w:rPr>
                <w:rFonts w:ascii="Arial" w:cs="Arial" w:eastAsia="Arial" w:hAnsi="Arial"/>
              </w:rPr>
              <w:t xml:space="preserve">Draft v0.1, prepared by Clau (AI co-founder) for review by DPDP-competent counsel. This document is </w:t>
            </w:r>
            <w:r>
              <w:rPr>
                <w:rFonts w:ascii="Arial" w:cs="Arial" w:eastAsia="Arial" w:hAnsi="Arial"/>
                <w:b/>
                <w:bCs/>
                <w:i/>
                <w:iCs/>
              </w:rPr>
              <w:t xml:space="preserve">not</w:t>
            </w:r>
            <w:r>
              <w:rPr>
                <w:rFonts w:ascii="Arial" w:cs="Arial" w:eastAsia="Arial" w:hAnsi="Arial"/>
              </w:rPr>
              <w:t xml:space="preserve"> a final or signed privacy notice. It is a structured starting point that states Viabe’s data flows as currently known, so counsel can harden the language and close the gaps.</w:t>
            </w:r>
          </w:p>
          <w:p>
            <w:pPr>
              <w:spacing w:after="120"/>
            </w:pPr>
            <w:r>
              <w:rPr>
                <w:rFonts w:ascii="Arial" w:cs="Arial" w:eastAsia="Arial" w:hAnsi="Arial"/>
                <w:b/>
                <w:bCs/>
              </w:rPr>
              <w:t xml:space="preserve">How to read the annotations:</w:t>
            </w:r>
          </w:p>
          <w:p>
            <w:pPr>
              <w:pStyle w:val="ListParagraph"/>
              <w:numPr>
                <w:ilvl w:val="0"/>
                <w:numId w:val="2"/>
              </w:numPr>
              <w:spacing w:after="60"/>
            </w:pPr>
            <w:r>
              <w:rPr>
                <w:rFonts w:ascii="Arial" w:cs="Arial" w:eastAsia="Arial" w:hAnsi="Arial"/>
                <w:b/>
                <w:bCs/>
                <w:color w:val="B22222"/>
              </w:rPr>
              <w:t xml:space="preserve">[CONFIRM]</w:t>
            </w:r>
            <w:r>
              <w:rPr>
                <w:rFonts w:ascii="Arial" w:cs="Arial" w:eastAsia="Arial" w:hAnsi="Arial"/>
              </w:rPr>
              <w:t xml:space="preserve">  — a factual claim the reviewer/Fazal should verify against the system before sign-off.</w:t>
            </w:r>
          </w:p>
          <w:p>
            <w:pPr>
              <w:pStyle w:val="ListParagraph"/>
              <w:numPr>
                <w:ilvl w:val="0"/>
                <w:numId w:val="2"/>
              </w:numPr>
              <w:spacing w:after="60"/>
            </w:pPr>
            <w:r>
              <w:rPr>
                <w:rFonts w:ascii="Arial" w:cs="Arial" w:eastAsia="Arial" w:hAnsi="Arial"/>
                <w:b/>
                <w:bCs/>
                <w:color w:val="B22222"/>
              </w:rPr>
              <w:t xml:space="preserve">[UNVERIFIED — VT-4 pending]</w:t>
            </w:r>
            <w:r>
              <w:rPr>
                <w:rFonts w:ascii="Arial" w:cs="Arial" w:eastAsia="Arial" w:hAnsi="Arial"/>
              </w:rPr>
              <w:t xml:space="preserve">  — a data flow not yet built; description is provisional and will change.</w:t>
            </w:r>
          </w:p>
          <w:p>
            <w:pPr>
              <w:pStyle w:val="ListParagraph"/>
              <w:numPr>
                <w:ilvl w:val="0"/>
                <w:numId w:val="2"/>
              </w:numPr>
              <w:spacing w:after="60"/>
            </w:pPr>
            <w:r>
              <w:rPr>
                <w:rFonts w:ascii="Arial" w:cs="Arial" w:eastAsia="Arial" w:hAnsi="Arial"/>
                <w:b/>
                <w:bCs/>
                <w:color w:val="B22222"/>
              </w:rPr>
              <w:t xml:space="preserve">[LEGAL]</w:t>
            </w:r>
            <w:r>
              <w:rPr>
                <w:rFonts w:ascii="Arial" w:cs="Arial" w:eastAsia="Arial" w:hAnsi="Arial"/>
              </w:rPr>
              <w:t xml:space="preserve">  — a point flagged for counsel judgment (legal basis, wording, regulatory choice).</w:t>
            </w:r>
          </w:p>
          <w:p>
            <w:pPr>
              <w:pStyle w:val="ListParagraph"/>
              <w:numPr>
                <w:ilvl w:val="0"/>
                <w:numId w:val="2"/>
              </w:numPr>
              <w:spacing w:after="60"/>
            </w:pPr>
            <w:r>
              <w:rPr>
                <w:rFonts w:ascii="Arial" w:cs="Arial" w:eastAsia="Arial" w:hAnsi="Arial"/>
                <w:b/>
                <w:bCs/>
                <w:color w:val="B22222"/>
              </w:rPr>
              <w:t xml:space="preserve">[DRAFTING NOTE]</w:t>
            </w:r>
            <w:r>
              <w:rPr>
                <w:rFonts w:ascii="Arial" w:cs="Arial" w:eastAsia="Arial" w:hAnsi="Arial"/>
              </w:rPr>
              <w:t xml:space="preserve">  — internal note explaining a choice; delete before publication.</w:t>
            </w:r>
          </w:p>
          <w:p>
            <w:pPr>
              <w:spacing w:after="120"/>
            </w:pPr>
            <w:r>
              <w:rPr>
                <w:rFonts w:ascii="Arial" w:cs="Arial" w:eastAsia="Arial" w:hAnsi="Arial"/>
                <w:b/>
                <w:bCs/>
              </w:rPr>
              <w:t xml:space="preserve">Regulatory scope: </w:t>
            </w:r>
            <w:r>
              <w:rPr>
                <w:rFonts w:ascii="Arial" w:cs="Arial" w:eastAsia="Arial" w:hAnsi="Arial"/>
              </w:rPr>
              <w:t xml:space="preserve">India / Digital Personal Data Protection Act, 2023 (DPDP) only. GDPR and other regimes are deliberately out of scope per the locked Phase 1 India-only launch plan. </w:t>
            </w:r>
            <w:r>
              <w:rPr>
                <w:rFonts w:ascii="Arial" w:cs="Arial" w:eastAsia="Arial" w:hAnsi="Arial"/>
                <w:b/>
                <w:bCs/>
                <w:color w:val="B22222"/>
              </w:rPr>
              <w:t xml:space="preserve">[LEGAL] Confirm no EU/UK data subjects are expected at launch; if they are, scope must widen.</w:t>
            </w:r>
          </w:p>
        </w:tc>
      </w:tr>
    </w:tbl>
    <w:p>
      <w:pPr>
        <w:pBdr>
          <w:bottom w:val="single" w:color="999999" w:sz="4" w:space="1"/>
        </w:pBdr>
        <w:spacing w:after="120" w:before="120"/>
      </w:pPr>
      <w:r>
        <w:t xml:space="preserve"/>
      </w:r>
    </w:p>
    <w:p>
      <w:pPr>
        <w:pStyle w:val="Heading1"/>
      </w:pPr>
      <w:r>
        <w:t xml:space="preserve">1. Who we are</w:t>
      </w:r>
    </w:p>
    <w:p>
      <w:pPr>
        <w:spacing w:after="120"/>
      </w:pPr>
      <w:r>
        <w:rPr>
          <w:rFonts w:ascii="Arial" w:cs="Arial" w:eastAsia="Arial" w:hAnsi="Arial"/>
        </w:rPr>
        <w:t xml:space="preserve">Viabe.ai (“Viabe”, “we”, “us”) provides software services to small and medium businesses, including location-intelligence reports and an automated Sales Recovery Agent that communicates with a business’s own customers on the business’s behalf.</w:t>
      </w:r>
    </w:p>
    <w:p>
      <w:pPr>
        <w:spacing w:after="120"/>
      </w:pPr>
      <w:r>
        <w:rPr>
          <w:rFonts w:ascii="Arial" w:cs="Arial" w:eastAsia="Arial" w:hAnsi="Arial"/>
          <w:b/>
          <w:bCs/>
          <w:color w:val="B22222"/>
        </w:rPr>
        <w:t xml:space="preserve">[CONFIRM] Legal entity name, registered address, and the operator’s role.</w:t>
      </w:r>
    </w:p>
    <w:p>
      <w:pPr>
        <w:spacing w:after="120"/>
      </w:pPr>
      <w:r>
        <w:rPr>
          <w:rFonts w:ascii="Arial" w:cs="Arial" w:eastAsia="Arial" w:hAnsi="Arial"/>
          <w:b/>
          <w:bCs/>
          <w:color w:val="B22222"/>
        </w:rPr>
        <w:t xml:space="preserve">[LEGAL] Under DPDP, Viabe is likely a Data Fiduciary or Data Processor depending on the product. For the Sales Recovery Agent, the SME customer is plausibly the Data Fiduciary for their end-customers’ data, with Viabe processing on their behalf. Counsel must determine and state the Fiduciary/Processor split precisely — it drives every consent and DSR obligation below.</w:t>
      </w:r>
    </w:p>
    <w:p>
      <w:pPr>
        <w:spacing w:after="120"/>
      </w:pPr>
      <w:r>
        <w:rPr>
          <w:rFonts w:ascii="Arial" w:cs="Arial" w:eastAsia="Arial" w:hAnsi="Arial"/>
          <w:b/>
          <w:bCs/>
          <w:color w:val="B22222"/>
        </w:rPr>
        <w:t xml:space="preserve">[CONFIRM] Grievance / Data Protection Officer contact details — name, email. DPDP requires a published contact for the Data Fiduciary. Must be filled before publication.</w:t>
      </w:r>
    </w:p>
    <w:p>
      <w:pPr>
        <w:pStyle w:val="Heading1"/>
      </w:pPr>
      <w:r>
        <w:t xml:space="preserve">2. What this notice covers</w:t>
      </w:r>
    </w:p>
    <w:p>
      <w:pPr>
        <w:spacing w:after="120"/>
      </w:pPr>
      <w:r>
        <w:rPr>
          <w:rFonts w:ascii="Arial" w:cs="Arial" w:eastAsia="Arial" w:hAnsi="Arial"/>
        </w:rPr>
        <w:t xml:space="preserve">This notice describes how Viabe handles personal data across the whole product, not a single feature. The components that touch personal data are:</w:t>
      </w:r>
    </w:p>
    <w:p>
      <w:pPr>
        <w:pStyle w:val="ListParagraph"/>
        <w:numPr>
          <w:ilvl w:val="0"/>
          <w:numId w:val="2"/>
        </w:numPr>
        <w:spacing w:after="60"/>
      </w:pPr>
      <w:r>
        <w:rPr>
          <w:rFonts w:ascii="Arial" w:cs="Arial" w:eastAsia="Arial" w:hAnsi="Arial"/>
        </w:rPr>
        <w:t xml:space="preserve">The Orchestrator and message pipeline that receive and route inbound messages.</w:t>
      </w:r>
    </w:p>
    <w:p>
      <w:pPr>
        <w:pStyle w:val="ListParagraph"/>
        <w:numPr>
          <w:ilvl w:val="0"/>
          <w:numId w:val="2"/>
        </w:numPr>
        <w:spacing w:after="60"/>
      </w:pPr>
      <w:r>
        <w:rPr>
          <w:rFonts w:ascii="Arial" w:cs="Arial" w:eastAsia="Arial" w:hAnsi="Arial"/>
        </w:rPr>
        <w:t xml:space="preserve">The Sales Recovery Agent that analyses customer history and drafts outreach.  </w:t>
      </w:r>
      <w:r>
        <w:rPr>
          <w:rFonts w:ascii="Arial" w:cs="Arial" w:eastAsia="Arial" w:hAnsi="Arial"/>
          <w:b/>
          <w:bCs/>
          <w:color w:val="B22222"/>
        </w:rPr>
        <w:t xml:space="preserve">[UNVERIFIED — VT-4 pending]</w:t>
      </w:r>
    </w:p>
    <w:p>
      <w:pPr>
        <w:pStyle w:val="ListParagraph"/>
        <w:numPr>
          <w:ilvl w:val="0"/>
          <w:numId w:val="2"/>
        </w:numPr>
        <w:spacing w:after="60"/>
      </w:pPr>
      <w:r>
        <w:rPr>
          <w:rFonts w:ascii="Arial" w:cs="Arial" w:eastAsia="Arial" w:hAnsi="Arial"/>
        </w:rPr>
        <w:t xml:space="preserve">The Composer that produces message content.</w:t>
      </w:r>
    </w:p>
    <w:p>
      <w:pPr>
        <w:pStyle w:val="ListParagraph"/>
        <w:numPr>
          <w:ilvl w:val="0"/>
          <w:numId w:val="2"/>
        </w:numPr>
        <w:spacing w:after="60"/>
      </w:pPr>
      <w:r>
        <w:rPr>
          <w:rFonts w:ascii="Arial" w:cs="Arial" w:eastAsia="Arial" w:hAnsi="Arial"/>
        </w:rPr>
        <w:t xml:space="preserve">owner_inputs, an optional feature that records business-owner-supplied context.</w:t>
      </w:r>
    </w:p>
    <w:p>
      <w:pPr>
        <w:pStyle w:val="ListParagraph"/>
        <w:numPr>
          <w:ilvl w:val="0"/>
          <w:numId w:val="2"/>
        </w:numPr>
        <w:spacing w:after="60"/>
      </w:pPr>
      <w:r>
        <w:rPr>
          <w:rFonts w:ascii="Arial" w:cs="Arial" w:eastAsia="Arial" w:hAnsi="Arial"/>
        </w:rPr>
        <w:t xml:space="preserve">The durability layer (DBOS) that allows the system to recover from crashes.</w:t>
      </w:r>
    </w:p>
    <w:p>
      <w:pPr>
        <w:pStyle w:val="ListParagraph"/>
        <w:numPr>
          <w:ilvl w:val="0"/>
          <w:numId w:val="2"/>
        </w:numPr>
        <w:spacing w:after="60"/>
      </w:pPr>
      <w:r>
        <w:rPr>
          <w:rFonts w:ascii="Arial" w:cs="Arial" w:eastAsia="Arial" w:hAnsi="Arial"/>
        </w:rPr>
        <w:t xml:space="preserve">Third-party services that receive data to perform their function: Anthropic, Twilio, Voyage.</w:t>
      </w:r>
    </w:p>
    <w:p>
      <w:pPr>
        <w:spacing w:after="120"/>
      </w:pPr>
      <w:r>
        <w:rPr>
          <w:rFonts w:ascii="Arial" w:cs="Arial" w:eastAsia="Arial" w:hAnsi="Arial"/>
          <w:b/>
          <w:bCs/>
          <w:color w:val="B22222"/>
        </w:rPr>
        <w:t xml:space="preserve">[DRAFTING NOTE] The notice is deliberately system-level. An earlier framing treated it as a sub-feature of owner_inputs; that was corrected — DPDP attaches to the customer’s message, so every component handling it is in scope regardless of any feature flag.</w:t>
      </w:r>
    </w:p>
    <w:p>
      <w:pPr>
        <w:pStyle w:val="Heading1"/>
      </w:pPr>
      <w:r>
        <w:t xml:space="preserve">3. What personal data we process</w:t>
      </w:r>
    </w:p>
    <w:p>
      <w:pPr>
        <w:spacing w:after="120"/>
      </w:pPr>
      <w:r>
        <w:rPr>
          <w:rFonts w:ascii="Arial" w:cs="Arial" w:eastAsia="Arial" w:hAnsi="Arial"/>
          <w:b/>
          <w:bCs/>
          <w:color w:val="B22222"/>
        </w:rPr>
        <w:t xml:space="preserve">[CONFIRM] Reconcile this list against the actual database schema before sign-off.</w:t>
      </w:r>
    </w:p>
    <w:p>
      <w:pPr>
        <w:pStyle w:val="ListParagraph"/>
        <w:numPr>
          <w:ilvl w:val="0"/>
          <w:numId w:val="2"/>
        </w:numPr>
        <w:spacing w:after="60"/>
      </w:pPr>
      <w:r>
        <w:rPr>
          <w:rFonts w:ascii="Arial" w:cs="Arial" w:eastAsia="Arial" w:hAnsi="Arial"/>
          <w:b/>
          <w:bCs/>
        </w:rPr>
        <w:t xml:space="preserve">Message content</w:t>
      </w:r>
      <w:r>
        <w:rPr>
          <w:rFonts w:ascii="Arial" w:cs="Arial" w:eastAsia="Arial" w:hAnsi="Arial"/>
        </w:rPr>
        <w:t xml:space="preserve"> — the text of messages exchanged between a business and its customers, including inbound customer messages.</w:t>
      </w:r>
    </w:p>
    <w:p>
      <w:pPr>
        <w:pStyle w:val="ListParagraph"/>
        <w:numPr>
          <w:ilvl w:val="0"/>
          <w:numId w:val="2"/>
        </w:numPr>
        <w:spacing w:after="60"/>
      </w:pPr>
      <w:r>
        <w:rPr>
          <w:rFonts w:ascii="Arial" w:cs="Arial" w:eastAsia="Arial" w:hAnsi="Arial"/>
          <w:b/>
          <w:bCs/>
        </w:rPr>
        <w:t xml:space="preserve">Contact identifiers</w:t>
      </w:r>
      <w:r>
        <w:rPr>
          <w:rFonts w:ascii="Arial" w:cs="Arial" w:eastAsia="Arial" w:hAnsi="Arial"/>
        </w:rPr>
        <w:t xml:space="preserve"> — phone numbers and message/thread identifiers (e.g. Twilio message SIDs).</w:t>
      </w:r>
    </w:p>
    <w:p>
      <w:pPr>
        <w:pStyle w:val="ListParagraph"/>
        <w:numPr>
          <w:ilvl w:val="0"/>
          <w:numId w:val="2"/>
        </w:numPr>
        <w:spacing w:after="60"/>
      </w:pPr>
      <w:r>
        <w:rPr>
          <w:rFonts w:ascii="Arial" w:cs="Arial" w:eastAsia="Arial" w:hAnsi="Arial"/>
          <w:b/>
          <w:bCs/>
        </w:rPr>
        <w:t xml:space="preserve">Business-owner-supplied context</w:t>
      </w:r>
      <w:r>
        <w:rPr>
          <w:rFonts w:ascii="Arial" w:cs="Arial" w:eastAsia="Arial" w:hAnsi="Arial"/>
        </w:rPr>
        <w:t xml:space="preserve"> — information a business owner enters about their business, captured by owner_inputs as structured intent.  </w:t>
      </w:r>
      <w:r>
        <w:rPr>
          <w:rFonts w:ascii="Arial" w:cs="Arial" w:eastAsia="Arial" w:hAnsi="Arial"/>
          <w:b/>
          <w:bCs/>
          <w:color w:val="B22222"/>
        </w:rPr>
        <w:t xml:space="preserve">[CONFIRM] owner_inputs stores structured intent only, not raw message bodies — verify this still holds at launch (asserted by an automated test today).</w:t>
      </w:r>
    </w:p>
    <w:p>
      <w:pPr>
        <w:pStyle w:val="ListParagraph"/>
        <w:numPr>
          <w:ilvl w:val="0"/>
          <w:numId w:val="2"/>
        </w:numPr>
        <w:spacing w:after="60"/>
      </w:pPr>
      <w:r>
        <w:rPr>
          <w:rFonts w:ascii="Arial" w:cs="Arial" w:eastAsia="Arial" w:hAnsi="Arial"/>
          <w:b/>
          <w:bCs/>
        </w:rPr>
        <w:t xml:space="preserve">Derived data</w:t>
      </w:r>
      <w:r>
        <w:rPr>
          <w:rFonts w:ascii="Arial" w:cs="Arial" w:eastAsia="Arial" w:hAnsi="Arial"/>
        </w:rPr>
        <w:t xml:space="preserve"> — vector embeddings and a knowledge graph generated from message content, used to retrieve relevant context.  </w:t>
      </w:r>
      <w:r>
        <w:rPr>
          <w:rFonts w:ascii="Arial" w:cs="Arial" w:eastAsia="Arial" w:hAnsi="Arial"/>
          <w:b/>
          <w:bCs/>
          <w:color w:val="B22222"/>
        </w:rPr>
        <w:t xml:space="preserve">[CONFIRM] Confirm embedding / knowledge-graph tables in scope.</w:t>
      </w:r>
    </w:p>
    <w:p>
      <w:pPr>
        <w:spacing w:after="120"/>
      </w:pPr>
      <w:r>
        <w:rPr>
          <w:rFonts w:ascii="Arial" w:cs="Arial" w:eastAsia="Arial" w:hAnsi="Arial"/>
          <w:b/>
          <w:bCs/>
          <w:color w:val="B22222"/>
        </w:rPr>
        <w:t xml:space="preserve">[UNVERIFIED — VT-4 pending] The Sales Recovery Agent’s full input set is not yet finalised in code. This section will need revision once VT-4 ships.</w:t>
      </w:r>
    </w:p>
    <w:p>
      <w:pPr>
        <w:pStyle w:val="Heading1"/>
      </w:pPr>
      <w:r>
        <w:t xml:space="preserve">4. How we use personal data, and our third-party processors</w:t>
      </w:r>
    </w:p>
    <w:p>
      <w:pPr>
        <w:spacing w:after="120"/>
      </w:pPr>
      <w:r>
        <w:rPr>
          <w:rFonts w:ascii="Arial" w:cs="Arial" w:eastAsia="Arial" w:hAnsi="Arial"/>
        </w:rPr>
        <w:t xml:space="preserve">Viabe relies on a small number of third-party services to operate. These are mandatory to the service — they are not optional add-ons, and the service cannot function without them. Their use is disclosed here and is consent-gated: a business agrees to them as a condition of using Viabe.</w:t>
      </w:r>
    </w:p>
    <w:p>
      <w:pPr>
        <w:spacing w:after="120"/>
      </w:pPr>
      <w:r>
        <w:rPr>
          <w:rFonts w:ascii="Arial" w:cs="Arial" w:eastAsia="Arial" w:hAnsi="Arial"/>
          <w:b/>
          <w:bCs/>
          <w:color w:val="B22222"/>
        </w:rPr>
        <w:t xml:space="preserve">[LEGAL] Counsel to confirm DPDP legal basis. The locked product decision is that these exchanges are consent-gated and mandatory. Counsel must confirm “consent as a condition of service” is valid under DPDP for each, or whether another lawful basis applies, and word this section accordingly.</w:t>
      </w:r>
    </w:p>
    <w:p>
      <w:pPr>
        <w:pStyle w:val="Heading2"/>
      </w:pPr>
      <w:r>
        <w:t xml:space="preserve">4.1 Anthropic — AI inference</w:t>
      </w:r>
    </w:p>
    <w:p>
      <w:pPr>
        <w:spacing w:after="120"/>
      </w:pPr>
      <w:r>
        <w:rPr>
          <w:rFonts w:ascii="Arial" w:cs="Arial" w:eastAsia="Arial" w:hAnsi="Arial"/>
        </w:rPr>
        <w:t xml:space="preserve">Viabe sends message content to Anthropic’s AI models to (a) classify incoming messages and (b) generate the Sales Recovery Agent’s analysis and drafted outreach.</w:t>
      </w:r>
    </w:p>
    <w:p>
      <w:pPr>
        <w:spacing w:after="120"/>
      </w:pPr>
      <w:r>
        <w:rPr>
          <w:rFonts w:ascii="Arial" w:cs="Arial" w:eastAsia="Arial" w:hAnsi="Arial"/>
          <w:b/>
          <w:bCs/>
          <w:color w:val="B22222"/>
        </w:rPr>
        <w:t xml:space="preserve">[CONFIRM] Raw, un-redacted customer message content is transmitted to Anthropic — both to the lighter classification model and to the agent model. The notice must say this plainly; it must not imply only redacted or derived data is sent.</w:t>
      </w:r>
    </w:p>
    <w:p>
      <w:pPr>
        <w:pStyle w:val="ListParagraph"/>
        <w:numPr>
          <w:ilvl w:val="0"/>
          <w:numId w:val="2"/>
        </w:numPr>
        <w:spacing w:after="60"/>
      </w:pPr>
      <w:r>
        <w:rPr>
          <w:rFonts w:ascii="Arial" w:cs="Arial" w:eastAsia="Arial" w:hAnsi="Arial"/>
          <w:b/>
          <w:bCs/>
        </w:rPr>
        <w:t xml:space="preserve">Purpose: </w:t>
      </w:r>
      <w:r>
        <w:rPr>
          <w:rFonts w:ascii="Arial" w:cs="Arial" w:eastAsia="Arial" w:hAnsi="Arial"/>
        </w:rPr>
        <w:t xml:space="preserve">inference only — classification and text generation.</w:t>
      </w:r>
    </w:p>
    <w:p>
      <w:pPr>
        <w:pStyle w:val="ListParagraph"/>
        <w:numPr>
          <w:ilvl w:val="0"/>
          <w:numId w:val="2"/>
        </w:numPr>
        <w:spacing w:after="60"/>
      </w:pPr>
      <w:r>
        <w:rPr>
          <w:rFonts w:ascii="Arial" w:cs="Arial" w:eastAsia="Arial" w:hAnsi="Arial"/>
          <w:b/>
          <w:bCs/>
        </w:rPr>
        <w:t xml:space="preserve">No training: </w:t>
      </w:r>
      <w:r>
        <w:rPr>
          <w:rFonts w:ascii="Arial" w:cs="Arial" w:eastAsia="Arial" w:hAnsi="Arial"/>
        </w:rPr>
        <w:t xml:space="preserve">message content is not used to train Anthropic’s models.  </w:t>
      </w:r>
      <w:r>
        <w:rPr>
          <w:rFonts w:ascii="Arial" w:cs="Arial" w:eastAsia="Arial" w:hAnsi="Arial"/>
          <w:b/>
          <w:bCs/>
          <w:color w:val="B22222"/>
        </w:rPr>
        <w:t xml:space="preserve">[CONFIRM] Supported by a Data Processing Agreement with Anthropic — counsel should review the DPA.</w:t>
      </w:r>
    </w:p>
    <w:p>
      <w:pPr>
        <w:spacing w:after="120"/>
      </w:pPr>
      <w:r>
        <w:rPr>
          <w:rFonts w:ascii="Arial" w:cs="Arial" w:eastAsia="Arial" w:hAnsi="Arial"/>
          <w:b/>
          <w:bCs/>
          <w:color w:val="B22222"/>
        </w:rPr>
        <w:t xml:space="preserve">[DRAFTING NOTE] Do not use any “fine-tuned for your business” or “learns your business” phrasing anywhere in customer-facing copy. It is inaccurate and creates a false impression of training. Hard constraint.</w:t>
      </w:r>
    </w:p>
    <w:p>
      <w:pPr>
        <w:pStyle w:val="Heading2"/>
      </w:pPr>
      <w:r>
        <w:t xml:space="preserve">4.2 Twilio — message transport</w:t>
      </w:r>
    </w:p>
    <w:p>
      <w:pPr>
        <w:spacing w:after="120"/>
      </w:pPr>
      <w:r>
        <w:rPr>
          <w:rFonts w:ascii="Arial" w:cs="Arial" w:eastAsia="Arial" w:hAnsi="Arial"/>
        </w:rPr>
        <w:t xml:space="preserve">Twilio (including WhatsApp via Twilio) is the transport channel for messages between a business and its customers.</w:t>
      </w:r>
    </w:p>
    <w:p>
      <w:pPr>
        <w:pStyle w:val="ListParagraph"/>
        <w:numPr>
          <w:ilvl w:val="0"/>
          <w:numId w:val="2"/>
        </w:numPr>
        <w:spacing w:after="60"/>
      </w:pPr>
      <w:r>
        <w:rPr>
          <w:rFonts w:ascii="Arial" w:cs="Arial" w:eastAsia="Arial" w:hAnsi="Arial"/>
          <w:b/>
          <w:bCs/>
        </w:rPr>
        <w:t xml:space="preserve">Purpose: </w:t>
      </w:r>
      <w:r>
        <w:rPr>
          <w:rFonts w:ascii="Arial" w:cs="Arial" w:eastAsia="Arial" w:hAnsi="Arial"/>
        </w:rPr>
        <w:t xml:space="preserve">delivering and receiving messages — transport only.</w:t>
      </w:r>
    </w:p>
    <w:p>
      <w:pPr>
        <w:pStyle w:val="ListParagraph"/>
        <w:numPr>
          <w:ilvl w:val="0"/>
          <w:numId w:val="2"/>
        </w:numPr>
        <w:spacing w:after="60"/>
      </w:pPr>
      <w:r>
        <w:rPr>
          <w:rFonts w:ascii="Arial" w:cs="Arial" w:eastAsia="Arial" w:hAnsi="Arial"/>
          <w:b/>
          <w:bCs/>
          <w:color w:val="B22222"/>
        </w:rPr>
        <w:t xml:space="preserve">[CONFIRM] Twilio’s message “Body” field is dropped at ingress and not persisted by Viabe beyond transport — verify this body-drop still holds.</w:t>
      </w:r>
    </w:p>
    <w:p>
      <w:pPr>
        <w:pStyle w:val="Heading2"/>
      </w:pPr>
      <w:r>
        <w:t xml:space="preserve">4.3 Voyage — embeddings</w:t>
      </w:r>
    </w:p>
    <w:p>
      <w:pPr>
        <w:spacing w:after="120"/>
      </w:pPr>
      <w:r>
        <w:rPr>
          <w:rFonts w:ascii="Arial" w:cs="Arial" w:eastAsia="Arial" w:hAnsi="Arial"/>
        </w:rPr>
        <w:t xml:space="preserve">Viabe sends message content to Voyage AI to generate vector embeddings, which power context retrieval (the knowledge graph).</w:t>
      </w:r>
    </w:p>
    <w:p>
      <w:pPr>
        <w:spacing w:after="120"/>
      </w:pPr>
      <w:r>
        <w:rPr>
          <w:rFonts w:ascii="Arial" w:cs="Arial" w:eastAsia="Arial" w:hAnsi="Arial"/>
          <w:b/>
          <w:bCs/>
          <w:color w:val="B22222"/>
        </w:rPr>
        <w:t xml:space="preserve">[CONFIRM] Raw customer message content is sent to Voyage. The resulting embedding vectors are stored by Viabe and are treated as personal data (derived from, and linkable to, the customer’s message). The notice must disclose this transmission explicitly.</w:t>
      </w:r>
    </w:p>
    <w:p>
      <w:pPr>
        <w:pStyle w:val="ListParagraph"/>
        <w:numPr>
          <w:ilvl w:val="0"/>
          <w:numId w:val="2"/>
        </w:numPr>
        <w:spacing w:after="60"/>
      </w:pPr>
      <w:r>
        <w:rPr>
          <w:rFonts w:ascii="Arial" w:cs="Arial" w:eastAsia="Arial" w:hAnsi="Arial"/>
          <w:b/>
          <w:bCs/>
        </w:rPr>
        <w:t xml:space="preserve">Purpose: </w:t>
      </w:r>
      <w:r>
        <w:rPr>
          <w:rFonts w:ascii="Arial" w:cs="Arial" w:eastAsia="Arial" w:hAnsi="Arial"/>
        </w:rPr>
        <w:t xml:space="preserve">generating embeddings for context retrieval — inference only, no training.  </w:t>
      </w:r>
      <w:r>
        <w:rPr>
          <w:rFonts w:ascii="Arial" w:cs="Arial" w:eastAsia="Arial" w:hAnsi="Arial"/>
          <w:b/>
          <w:bCs/>
          <w:color w:val="B22222"/>
        </w:rPr>
        <w:t xml:space="preserve">[CONFIRM]</w:t>
      </w:r>
    </w:p>
    <w:p>
      <w:pPr>
        <w:pStyle w:val="Heading2"/>
      </w:pPr>
      <w:r>
        <w:t xml:space="preserve">4.4 DBOS — crash recovery (durability layer)</w:t>
      </w:r>
    </w:p>
    <w:p>
      <w:pPr>
        <w:spacing w:after="120"/>
      </w:pPr>
      <w:r>
        <w:rPr>
          <w:rFonts w:ascii="Arial" w:cs="Arial" w:eastAsia="Arial" w:hAnsi="Arial"/>
        </w:rPr>
        <w:t xml:space="preserve">Viabe uses a durability layer (DBOS) so that if the system crashes mid-processing it can resume without losing a message.</w:t>
      </w:r>
    </w:p>
    <w:p>
      <w:pPr>
        <w:spacing w:after="120"/>
      </w:pPr>
      <w:r>
        <w:rPr>
          <w:rFonts w:ascii="Arial" w:cs="Arial" w:eastAsia="Arial" w:hAnsi="Arial"/>
          <w:b/>
          <w:bCs/>
          <w:color w:val="B22222"/>
        </w:rPr>
        <w:t xml:space="preserve">[CONFIRM] For crash recovery to work, the durability layer temporarily retains the raw message body. This retention is bounded: approximately 2.5 hours worst-case, after which the record is purged automatically.</w:t>
      </w:r>
    </w:p>
    <w:p>
      <w:pPr>
        <w:spacing w:after="120"/>
      </w:pPr>
      <w:r>
        <w:rPr>
          <w:rFonts w:ascii="Arial" w:cs="Arial" w:eastAsia="Arial" w:hAnsi="Arial"/>
          <w:b/>
          <w:bCs/>
          <w:color w:val="B22222"/>
        </w:rPr>
        <w:t xml:space="preserve">[DRAFTING NOTE] The notice must not claim the message body is “never stored” or “never persisted.” It is briefly persisted in the durability layer. The accurate statement is a short, bounded, automatically-purged retention window for crash recovery. Getting this wrong would make a signed legal document false.</w:t>
      </w:r>
    </w:p>
    <w:p>
      <w:pPr>
        <w:pStyle w:val="Heading1"/>
      </w:pPr>
      <w:r>
        <w:t xml:space="preserve">5. Data retention</w:t>
      </w:r>
    </w:p>
    <w:p>
      <w:pPr>
        <w:pStyle w:val="ListParagraph"/>
        <w:numPr>
          <w:ilvl w:val="0"/>
          <w:numId w:val="2"/>
        </w:numPr>
        <w:spacing w:after="60"/>
      </w:pPr>
      <w:r>
        <w:rPr>
          <w:rFonts w:ascii="Arial" w:cs="Arial" w:eastAsia="Arial" w:hAnsi="Arial"/>
          <w:b/>
          <w:bCs/>
        </w:rPr>
        <w:t xml:space="preserve">Durability layer (crash recovery): </w:t>
      </w:r>
      <w:r>
        <w:rPr>
          <w:rFonts w:ascii="Arial" w:cs="Arial" w:eastAsia="Arial" w:hAnsi="Arial"/>
        </w:rPr>
        <w:t xml:space="preserve">raw message body retained ~2.5 hours worst-case, then automatically purged.  </w:t>
      </w:r>
      <w:r>
        <w:rPr>
          <w:rFonts w:ascii="Arial" w:cs="Arial" w:eastAsia="Arial" w:hAnsi="Arial"/>
          <w:b/>
          <w:bCs/>
          <w:color w:val="B22222"/>
        </w:rPr>
        <w:t xml:space="preserve">[CONFIRM]</w:t>
      </w:r>
    </w:p>
    <w:p>
      <w:pPr>
        <w:pStyle w:val="ListParagraph"/>
        <w:numPr>
          <w:ilvl w:val="0"/>
          <w:numId w:val="2"/>
        </w:numPr>
        <w:spacing w:after="60"/>
      </w:pPr>
      <w:r>
        <w:rPr>
          <w:rFonts w:ascii="Arial" w:cs="Arial" w:eastAsia="Arial" w:hAnsi="Arial"/>
          <w:b/>
          <w:bCs/>
        </w:rPr>
        <w:t xml:space="preserve">owner_inputs (structured business context): </w:t>
      </w:r>
      <w:r>
        <w:rPr>
          <w:rFonts w:ascii="Arial" w:cs="Arial" w:eastAsia="Arial" w:hAnsi="Arial"/>
        </w:rPr>
        <w:t xml:space="preserve">retained for the lifetime of the business’s relationship with Viabe; purged on offboarding or on a verified data-subject request.  </w:t>
      </w:r>
      <w:r>
        <w:rPr>
          <w:rFonts w:ascii="Arial" w:cs="Arial" w:eastAsia="Arial" w:hAnsi="Arial"/>
          <w:b/>
          <w:bCs/>
          <w:color w:val="B22222"/>
        </w:rPr>
        <w:t xml:space="preserve">[CONFIRM]</w:t>
      </w:r>
    </w:p>
    <w:p>
      <w:pPr>
        <w:pStyle w:val="ListParagraph"/>
        <w:numPr>
          <w:ilvl w:val="0"/>
          <w:numId w:val="2"/>
        </w:numPr>
        <w:spacing w:after="60"/>
      </w:pPr>
      <w:r>
        <w:rPr>
          <w:rFonts w:ascii="Arial" w:cs="Arial" w:eastAsia="Arial" w:hAnsi="Arial"/>
          <w:b/>
          <w:bCs/>
        </w:rPr>
        <w:t xml:space="preserve">Message content, embeddings, knowledge graph: </w:t>
      </w:r>
      <w:r>
        <w:rPr>
          <w:rFonts w:ascii="Arial" w:cs="Arial" w:eastAsia="Arial" w:hAnsi="Arial"/>
          <w:b/>
          <w:bCs/>
          <w:color w:val="B22222"/>
        </w:rPr>
        <w:t xml:space="preserve">[CONFIRM] Retention period for the general pipeline and derived-data tables is not yet specified. Counsel and Fazal must set and state a definite retention period — DPDP requires data not be kept longer than necessary. Open gap.</w:t>
      </w:r>
    </w:p>
    <w:p>
      <w:pPr>
        <w:pStyle w:val="ListParagraph"/>
        <w:numPr>
          <w:ilvl w:val="0"/>
          <w:numId w:val="2"/>
        </w:numPr>
        <w:spacing w:after="60"/>
      </w:pPr>
      <w:r>
        <w:rPr>
          <w:rFonts w:ascii="Arial" w:cs="Arial" w:eastAsia="Arial" w:hAnsi="Arial"/>
          <w:b/>
          <w:bCs/>
          <w:color w:val="B22222"/>
        </w:rPr>
        <w:t xml:space="preserve">[UNVERIFIED — VT-4 pending] Sales Recovery Agent working data retention — to be specified once VT-4 ships.</w:t>
      </w:r>
    </w:p>
    <w:p>
      <w:pPr>
        <w:spacing w:after="120"/>
      </w:pPr>
      <w:r>
        <w:rPr>
          <w:rFonts w:ascii="Arial" w:cs="Arial" w:eastAsia="Arial" w:hAnsi="Arial"/>
          <w:b/>
          <w:bCs/>
          <w:color w:val="B22222"/>
        </w:rPr>
        <w:t xml:space="preserve">[LEGAL] DPDP expects a stated, justifiable retention period for each category. The [CONFIRM] gaps above are the main thing this draft cannot resolve on its own.</w:t>
      </w:r>
    </w:p>
    <w:p>
      <w:pPr>
        <w:pStyle w:val="Heading1"/>
      </w:pPr>
      <w:r>
        <w:t xml:space="preserve">6. Consent</w:t>
      </w:r>
    </w:p>
    <w:p>
      <w:pPr>
        <w:spacing w:after="120"/>
      </w:pPr>
      <w:r>
        <w:rPr>
          <w:rFonts w:ascii="Arial" w:cs="Arial" w:eastAsia="Arial" w:hAnsi="Arial"/>
          <w:b/>
          <w:bCs/>
          <w:color w:val="B22222"/>
        </w:rPr>
        <w:t xml:space="preserve">[CONFIRM] The consent-capture mechanism lives in the business-owner-facing flow and is being built as a separate launch-gating item. This section must describe the actual mechanism as built — what the owner is shown, what they agree to, and how agreement is recorded.</w:t>
      </w:r>
    </w:p>
    <w:p>
      <w:pPr>
        <w:spacing w:after="120"/>
      </w:pPr>
      <w:r>
        <w:rPr>
          <w:rFonts w:ascii="Arial" w:cs="Arial" w:eastAsia="Arial" w:hAnsi="Arial"/>
          <w:b/>
          <w:bCs/>
          <w:color w:val="B22222"/>
        </w:rPr>
        <w:t xml:space="preserve">[LEGAL] DPDP requires consent to be free, specific, informed, unconditional, and unambiguous, with a clear withdrawal path. Counsel must confirm the consent flow meets the DPDP standard, and address the end-customer dimension: the SME’s own customers also have message data processed — counsel must determine whose consent covers them and how that is represented.</w:t>
      </w:r>
    </w:p>
    <w:p>
      <w:pPr>
        <w:pStyle w:val="Heading1"/>
      </w:pPr>
      <w:r>
        <w:t xml:space="preserve">7. Data-subject rights and requests (DSR)</w:t>
      </w:r>
    </w:p>
    <w:p>
      <w:pPr>
        <w:spacing w:after="120"/>
      </w:pPr>
      <w:r>
        <w:rPr>
          <w:rFonts w:ascii="Arial" w:cs="Arial" w:eastAsia="Arial" w:hAnsi="Arial"/>
        </w:rPr>
        <w:t xml:space="preserve">A business (and, as applicable, its customers) may request access to, correction of, or erasure of personal data.</w:t>
      </w:r>
    </w:p>
    <w:p>
      <w:pPr>
        <w:spacing w:after="120"/>
      </w:pPr>
      <w:r>
        <w:rPr>
          <w:rFonts w:ascii="Arial" w:cs="Arial" w:eastAsia="Arial" w:hAnsi="Arial"/>
          <w:b/>
          <w:bCs/>
          <w:color w:val="B22222"/>
        </w:rPr>
        <w:t xml:space="preserve">[CONFIRM] Viabe operates an automated purge process for erasure requests. As currently built it covers 12 data tables, including owner_inputs and the knowledge-graph / embedding tables. The tenant (business) record itself is anonymised rather than hard-deleted, because other records (e.g. an append-only audit log required for compliance) reference it.</w:t>
      </w:r>
    </w:p>
    <w:p>
      <w:pPr>
        <w:spacing w:after="120"/>
      </w:pPr>
      <w:r>
        <w:rPr>
          <w:rFonts w:ascii="Arial" w:cs="Arial" w:eastAsia="Arial" w:hAnsi="Arial"/>
        </w:rPr>
        <w:t xml:space="preserve">Counsel to confirm:</w:t>
      </w:r>
    </w:p>
    <w:p>
      <w:pPr>
        <w:pStyle w:val="ListParagraph"/>
        <w:numPr>
          <w:ilvl w:val="0"/>
          <w:numId w:val="2"/>
        </w:numPr>
        <w:spacing w:after="60"/>
      </w:pPr>
      <w:r>
        <w:rPr>
          <w:rFonts w:ascii="Arial" w:cs="Arial" w:eastAsia="Arial" w:hAnsi="Arial"/>
          <w:b/>
          <w:bCs/>
          <w:color w:val="B22222"/>
        </w:rPr>
        <w:t xml:space="preserve">[LEGAL] That anonymisation of the tenant record (rather than deletion) is an acceptable way to satisfy a DPDP erasure right, given the linked append-only audit log.</w:t>
      </w:r>
    </w:p>
    <w:p>
      <w:pPr>
        <w:pStyle w:val="ListParagraph"/>
        <w:numPr>
          <w:ilvl w:val="0"/>
          <w:numId w:val="2"/>
        </w:numPr>
        <w:spacing w:after="60"/>
      </w:pPr>
      <w:r>
        <w:rPr>
          <w:rFonts w:ascii="Arial" w:cs="Arial" w:eastAsia="Arial" w:hAnsi="Arial"/>
          <w:b/>
          <w:bCs/>
          <w:color w:val="B22222"/>
        </w:rPr>
        <w:t xml:space="preserve">[LEGAL] That the append-only privacy audit log itself is defensible to retain after an erasure request, and on what basis.</w:t>
      </w:r>
    </w:p>
    <w:p>
      <w:pPr>
        <w:pStyle w:val="ListParagraph"/>
        <w:numPr>
          <w:ilvl w:val="0"/>
          <w:numId w:val="2"/>
        </w:numPr>
        <w:spacing w:after="60"/>
      </w:pPr>
      <w:r>
        <w:rPr>
          <w:rFonts w:ascii="Arial" w:cs="Arial" w:eastAsia="Arial" w:hAnsi="Arial"/>
          <w:b/>
          <w:bCs/>
          <w:color w:val="B22222"/>
        </w:rPr>
        <w:t xml:space="preserve">[LEGAL] The response timeline Viabe commits to for DSRs, and how requests are made.</w:t>
      </w:r>
    </w:p>
    <w:p>
      <w:pPr>
        <w:spacing w:after="120"/>
      </w:pPr>
      <w:r>
        <w:rPr>
          <w:rFonts w:ascii="Arial" w:cs="Arial" w:eastAsia="Arial" w:hAnsi="Arial"/>
          <w:b/>
          <w:bCs/>
          <w:color w:val="B22222"/>
        </w:rPr>
        <w:t xml:space="preserve">[DRAFTING NOTE] The durability layer is deliberately excluded from the DSR purge scope — its records self-purge within ~2.5 hours, so a separate erasure step is unnecessary. Counsel should confirm this reasoning is sound to state.</w:t>
      </w:r>
    </w:p>
    <w:p>
      <w:pPr>
        <w:pStyle w:val="Heading1"/>
      </w:pPr>
      <w:r>
        <w:t xml:space="preserve">8. Data security</w:t>
      </w:r>
    </w:p>
    <w:p>
      <w:pPr>
        <w:spacing w:after="120"/>
      </w:pPr>
      <w:r>
        <w:rPr>
          <w:rFonts w:ascii="Arial" w:cs="Arial" w:eastAsia="Arial" w:hAnsi="Arial"/>
          <w:b/>
          <w:bCs/>
          <w:color w:val="B22222"/>
        </w:rPr>
        <w:t xml:space="preserve">[CONFIRM] Placeholder. Describe, at a level appropriate for a customer-facing notice, the security measures actually in place — tenant data isolation (row-level security), access controls, and so on. Fazal/counsel to supply accurate detail; do not overstate.</w:t>
      </w:r>
    </w:p>
    <w:p>
      <w:pPr>
        <w:pStyle w:val="Heading1"/>
      </w:pPr>
      <w:r>
        <w:t xml:space="preserve">9. Changes to this notice</w:t>
      </w:r>
    </w:p>
    <w:p>
      <w:pPr>
        <w:spacing w:after="120"/>
      </w:pPr>
      <w:r>
        <w:rPr>
          <w:rFonts w:ascii="Arial" w:cs="Arial" w:eastAsia="Arial" w:hAnsi="Arial"/>
          <w:b/>
          <w:bCs/>
          <w:color w:val="B22222"/>
        </w:rPr>
        <w:t xml:space="preserve">[LEGAL] Standard clause — counsel to supply. Should state how customers are notified of material changes.</w:t>
      </w:r>
    </w:p>
    <w:p>
      <w:pPr>
        <w:pStyle w:val="Heading1"/>
      </w:pPr>
      <w:r>
        <w:t xml:space="preserve">10. Contact</w:t>
      </w:r>
    </w:p>
    <w:p>
      <w:pPr>
        <w:spacing w:after="120"/>
      </w:pPr>
      <w:r>
        <w:rPr>
          <w:rFonts w:ascii="Arial" w:cs="Arial" w:eastAsia="Arial" w:hAnsi="Arial"/>
          <w:b/>
          <w:bCs/>
          <w:color w:val="B22222"/>
        </w:rPr>
        <w:t xml:space="preserve">[CONFIRM] Grievance officer / Data Protection contact — see Section 1. Must be a real, monitored channel before publication.</w:t>
      </w:r>
    </w:p>
    <w:p>
      <w:pPr>
        <w:pBdr>
          <w:bottom w:val="single" w:color="999999" w:sz="4" w:space="1"/>
        </w:pBdr>
        <w:spacing w:after="120" w:before="120"/>
      </w:pPr>
      <w:r>
        <w:t xml:space="preserve"/>
      </w:r>
    </w:p>
    <w:p>
      <w:pPr>
        <w:pStyle w:val="Heading1"/>
      </w:pPr>
      <w:r>
        <w:t xml:space="preserve">Appendix A — Data-flow summary</w:t>
      </w:r>
    </w:p>
    <w:p>
      <w:pPr>
        <w:spacing w:after="120"/>
      </w:pPr>
      <w:r>
        <w:rPr>
          <w:rFonts w:ascii="Arial" w:cs="Arial" w:eastAsia="Arial" w:hAnsi="Arial"/>
          <w:i/>
          <w:iCs/>
        </w:rPr>
        <w:t xml:space="preserve">For counsel; not part of the published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1600"/>
        <w:gridCol w:w="900"/>
        <w:gridCol w:w="1560"/>
        <w:gridCol w:w="14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Recipient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sent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Raw body?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Training?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Retention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 (classify)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Inbound message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 [CONFIRM]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Message classification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[CONFIRM]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 Anthropic DPA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 (agent)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history + message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 [CONFIRM]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analysis + drafting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[CONFIRM]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 Anthropic DPA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VT-4 pending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Twilio / WhatsApp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Message + phone number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Transport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Message delivery/receipt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Body dropped at ingress [CONFIRM]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Voyage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Message content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 [CONFIRM]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Embeddings for retrieval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[CONFIRM]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Embeddings stored by Viabe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DBOS (durability)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message body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Crash recovery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~2.5h worst-case, auto-purge [CONFIRM]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Viabe owner_inputs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Structured business 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[CONFIRM]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Owner-supplied 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Lifetime of relationship; purge on offboarding/DSR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w:t>
            </w:r>
          </w:p>
        </w:tc>
      </w:tr>
    </w:tbl>
    <w:p>
      <w:pPr>
        <w:pStyle w:val="Heading1"/>
      </w:pPr>
      <w:r>
        <w:t xml:space="preserve">Appendix B — Open items counsel must close before sign-off</w:t>
      </w:r>
    </w:p>
    <w:p>
      <w:pPr>
        <w:pStyle w:val="ListParagraph"/>
        <w:numPr>
          <w:ilvl w:val="0"/>
          <w:numId w:val="3"/>
        </w:numPr>
        <w:spacing w:after="60"/>
      </w:pPr>
      <w:r>
        <w:rPr>
          <w:rFonts w:ascii="Arial" w:cs="Arial" w:eastAsia="Arial" w:hAnsi="Arial"/>
        </w:rPr>
        <w:t xml:space="preserve">Controller/processor (Fiduciary/Processor) determination for each product, esp. the SME’s end-customers’ data.</w:t>
      </w:r>
    </w:p>
    <w:p>
      <w:pPr>
        <w:pStyle w:val="ListParagraph"/>
        <w:numPr>
          <w:ilvl w:val="0"/>
          <w:numId w:val="3"/>
        </w:numPr>
        <w:spacing w:after="60"/>
      </w:pPr>
      <w:r>
        <w:rPr>
          <w:rFonts w:ascii="Arial" w:cs="Arial" w:eastAsia="Arial" w:hAnsi="Arial"/>
        </w:rPr>
        <w:t xml:space="preserve">Legal basis: validity of “consent as a condition of service” under DPDP for the mandatory third-party exchanges.</w:t>
      </w:r>
    </w:p>
    <w:p>
      <w:pPr>
        <w:pStyle w:val="ListParagraph"/>
        <w:numPr>
          <w:ilvl w:val="0"/>
          <w:numId w:val="3"/>
        </w:numPr>
        <w:spacing w:after="60"/>
      </w:pPr>
      <w:r>
        <w:rPr>
          <w:rFonts w:ascii="Arial" w:cs="Arial" w:eastAsia="Arial" w:hAnsi="Arial"/>
        </w:rPr>
        <w:t xml:space="preserve">Retention periods for pipeline message content, embeddings, and knowledge graph — currently unspecified.</w:t>
      </w:r>
    </w:p>
    <w:p>
      <w:pPr>
        <w:pStyle w:val="ListParagraph"/>
        <w:numPr>
          <w:ilvl w:val="0"/>
          <w:numId w:val="3"/>
        </w:numPr>
        <w:spacing w:after="60"/>
      </w:pPr>
      <w:r>
        <w:rPr>
          <w:rFonts w:ascii="Arial" w:cs="Arial" w:eastAsia="Arial" w:hAnsi="Arial"/>
        </w:rPr>
        <w:t xml:space="preserve">Acceptability of tenant-record anonymisation (vs deletion) as DPDP erasure compliance.</w:t>
      </w:r>
    </w:p>
    <w:p>
      <w:pPr>
        <w:pStyle w:val="ListParagraph"/>
        <w:numPr>
          <w:ilvl w:val="0"/>
          <w:numId w:val="3"/>
        </w:numPr>
        <w:spacing w:after="60"/>
      </w:pPr>
      <w:r>
        <w:rPr>
          <w:rFonts w:ascii="Arial" w:cs="Arial" w:eastAsia="Arial" w:hAnsi="Arial"/>
        </w:rPr>
        <w:t xml:space="preserve">Defensibility of retaining the append-only privacy audit log post-erasure.</w:t>
      </w:r>
    </w:p>
    <w:p>
      <w:pPr>
        <w:pStyle w:val="ListParagraph"/>
        <w:numPr>
          <w:ilvl w:val="0"/>
          <w:numId w:val="3"/>
        </w:numPr>
        <w:spacing w:after="60"/>
      </w:pPr>
      <w:r>
        <w:rPr>
          <w:rFonts w:ascii="Arial" w:cs="Arial" w:eastAsia="Arial" w:hAnsi="Arial"/>
        </w:rPr>
        <w:t xml:space="preserve">DSR response timeline commitment.</w:t>
      </w:r>
    </w:p>
    <w:p>
      <w:pPr>
        <w:pStyle w:val="ListParagraph"/>
        <w:numPr>
          <w:ilvl w:val="0"/>
          <w:numId w:val="3"/>
        </w:numPr>
        <w:spacing w:after="60"/>
      </w:pPr>
      <w:r>
        <w:rPr>
          <w:rFonts w:ascii="Arial" w:cs="Arial" w:eastAsia="Arial" w:hAnsi="Arial"/>
        </w:rPr>
        <w:t xml:space="preserve">Grievance officer / DP contact appointment and publication.</w:t>
      </w:r>
    </w:p>
    <w:p>
      <w:pPr>
        <w:pStyle w:val="ListParagraph"/>
        <w:numPr>
          <w:ilvl w:val="0"/>
          <w:numId w:val="3"/>
        </w:numPr>
        <w:spacing w:after="60"/>
      </w:pPr>
      <w:r>
        <w:rPr>
          <w:rFonts w:ascii="Arial" w:cs="Arial" w:eastAsia="Arial" w:hAnsi="Arial"/>
        </w:rPr>
        <w:t xml:space="preserve">Sales Recovery Agent (VT-4) data handling — re-review once built.</w:t>
      </w:r>
    </w:p>
    <w:p>
      <w:pPr>
        <w:pStyle w:val="ListParagraph"/>
        <w:numPr>
          <w:ilvl w:val="0"/>
          <w:numId w:val="3"/>
        </w:numPr>
        <w:spacing w:after="60"/>
      </w:pPr>
      <w:r>
        <w:rPr>
          <w:rFonts w:ascii="Arial" w:cs="Arial" w:eastAsia="Arial" w:hAnsi="Arial"/>
        </w:rPr>
        <w:t xml:space="preserve">Confirm India-only scope; widen if EU/UK data subjects are expected.</w:t>
      </w:r>
    </w:p>
    <w:p>
      <w:pPr>
        <w:pStyle w:val="ListParagraph"/>
        <w:numPr>
          <w:ilvl w:val="0"/>
          <w:numId w:val="3"/>
        </w:numPr>
        <w:spacing w:after="60"/>
      </w:pPr>
      <w:r>
        <w:rPr>
          <w:rFonts w:ascii="Arial" w:cs="Arial" w:eastAsia="Arial" w:hAnsi="Arial"/>
        </w:rPr>
        <w:t xml:space="preserve">Security section (Section 8) factual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2026-05-23T20:32:57.449Z</dcterms:created>
  <dcterms:modified xsi:type="dcterms:W3CDTF">2026-05-23T20:32:57.449Z</dcterms:modified>
</cp:coreProperties>
</file>

<file path=docProps/custom.xml><?xml version="1.0" encoding="utf-8"?>
<Properties xmlns="http://schemas.openxmlformats.org/officeDocument/2006/custom-properties" xmlns:vt="http://schemas.openxmlformats.org/officeDocument/2006/docPropsVTypes"/>
</file>