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Style w:val="GridTable1Light-Accent1"/>
        <w:tblW w:w="9360" w:type="dxa"/>
        <w:jc w:val="left"/>
        <w:tblInd w:w="0" w:type="dxa"/>
        <w:tblCellMar>
          <w:top w:w="0" w:type="dxa"/>
          <w:left w:w="108" w:type="dxa"/>
          <w:bottom w:w="0" w:type="dxa"/>
          <w:right w:w="108" w:type="dxa"/>
        </w:tblCellMar>
        <w:tblLook w:firstRow="1" w:noVBand="1" w:lastRow="0" w:firstColumn="1" w:lastColumn="0" w:noHBand="0" w:val="04a0"/>
      </w:tblPr>
      <w:tblGrid>
        <w:gridCol w:w="9360"/>
      </w:tblGrid>
      <w:tr>
        <w:trPr/>
        <w:tc>
          <w:tcPr>
            <w:tcW w:w="9360"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fill="auto" w:val="clear"/>
          </w:tcPr>
          <w:p>
            <w:pPr>
              <w:pStyle w:val="LOnormal"/>
              <w:spacing w:lineRule="auto" w:line="240" w:before="0" w:after="0"/>
              <w:jc w:val="center"/>
              <w:rPr>
                <w:b/>
                <w:b/>
                <w:bCs/>
              </w:rPr>
            </w:pPr>
            <w:r>
              <w:rPr>
                <w:b/>
                <w:bCs/>
              </w:rP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pPr>
            <w:r>
              <w:rPr>
                <w:rFonts w:eastAsia="Cambria" w:cs="Cambria" w:ascii="Cambria" w:hAnsi="Cambria"/>
                <w:b/>
                <w:bCs/>
                <w:sz w:val="72"/>
                <w:szCs w:val="72"/>
              </w:rPr>
              <w:t>Cyber Protection Team 175</w:t>
            </w:r>
            <w:r>
              <w:rPr>
                <w:b/>
                <w:bCs/>
              </w:rPr>
              <w:br/>
            </w:r>
            <w:r>
              <w:rPr>
                <w:rFonts w:eastAsia="Cambria" w:cs="Cambria" w:ascii="Cambria" w:hAnsi="Cambria"/>
                <w:b/>
                <w:bCs/>
                <w:sz w:val="56"/>
                <w:szCs w:val="56"/>
              </w:rPr>
              <w:t xml:space="preserve">Threat Emulation Plan: </w:t>
            </w:r>
            <w:r>
              <w:rPr>
                <w:rFonts w:eastAsia="Cambria" w:cs="Cambria" w:ascii="Cambria" w:hAnsi="Cambria"/>
                <w:b/>
                <w:bCs/>
                <w:color w:val="auto"/>
                <w:kern w:val="0"/>
                <w:sz w:val="56"/>
                <w:szCs w:val="56"/>
                <w:lang w:val="en-US" w:eastAsia="zh-CN" w:bidi="hi-IN"/>
              </w:rPr>
              <w:t>HACKTONIANS</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OPERATION GRUNGY PAINT III</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0</w:t>
            </w:r>
            <w:r>
              <w:rPr>
                <w:rFonts w:eastAsia="Cambria" w:cs="Cambria" w:ascii="Cambria" w:hAnsi="Cambria"/>
                <w:b/>
                <w:bCs/>
                <w:sz w:val="44"/>
                <w:szCs w:val="44"/>
              </w:rPr>
              <w:t xml:space="preserve">3 </w:t>
            </w:r>
            <w:r>
              <w:rPr>
                <w:rFonts w:eastAsia="Cambria" w:cs="Cambria" w:ascii="Cambria" w:hAnsi="Cambria"/>
                <w:b/>
                <w:bCs/>
                <w:sz w:val="44"/>
                <w:szCs w:val="44"/>
              </w:rPr>
              <w:t>OCT</w:t>
            </w:r>
            <w:r>
              <w:rPr>
                <w:rFonts w:eastAsia="Cambria" w:cs="Cambria" w:ascii="Cambria" w:hAnsi="Cambria"/>
                <w:b/>
                <w:bCs/>
                <w:sz w:val="44"/>
                <w:szCs w:val="44"/>
              </w:rPr>
              <w:t xml:space="preserve"> 2019</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b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t>1.0.0</w:t>
            </w:r>
          </w:p>
        </w:tc>
      </w:tr>
    </w:tbl>
    <w:p>
      <w:pPr>
        <w:pStyle w:val="Normal"/>
        <w:rPr/>
      </w:pPr>
      <w:r>
        <w:rPr/>
      </w:r>
    </w:p>
    <w:p>
      <w:pPr>
        <w:pStyle w:val="Normal"/>
        <w:rPr/>
      </w:pPr>
      <w:r>
        <w:rPr/>
      </w:r>
    </w:p>
    <w:p>
      <w:pPr>
        <w:pStyle w:val="Normal"/>
        <w:jc w:val="center"/>
        <w:rPr/>
      </w:pPr>
      <w:r>
        <w:rPr/>
        <w:drawing>
          <wp:inline distT="0" distB="0" distL="0" distR="0">
            <wp:extent cx="3409950" cy="3457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09950" cy="3457575"/>
                    </a:xfrm>
                    <a:prstGeom prst="rect">
                      <a:avLst/>
                    </a:prstGeom>
                  </pic:spPr>
                </pic:pic>
              </a:graphicData>
            </a:graphic>
          </wp:inline>
        </w:drawing>
      </w:r>
    </w:p>
    <w:p>
      <w:pPr>
        <w:pStyle w:val="Normal"/>
        <w:jc w:val="center"/>
        <w:rPr/>
      </w:pPr>
      <w:r>
        <w:rPr/>
      </w:r>
      <w:r>
        <w:br w:type="page"/>
      </w:r>
    </w:p>
    <w:p>
      <w:pPr>
        <w:pStyle w:val="Normal"/>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431_3799018206">
            <w:r>
              <w:rPr>
                <w:rStyle w:val="IndexLink"/>
              </w:rPr>
              <w:t>Threat Emulation Plan: Hacktonians</w:t>
              <w:tab/>
              <w:t>2</w:t>
            </w:r>
          </w:hyperlink>
        </w:p>
        <w:p>
          <w:pPr>
            <w:pStyle w:val="Contents1"/>
            <w:tabs>
              <w:tab w:val="right" w:pos="9360" w:leader="dot"/>
            </w:tabs>
            <w:rPr/>
          </w:pPr>
          <w:hyperlink w:anchor="__RefHeading___Toc1433_3799018206">
            <w:r>
              <w:rPr>
                <w:rStyle w:val="IndexLink"/>
              </w:rPr>
              <w:t>1 Hacktonians Overview</w:t>
              <w:tab/>
              <w:t>2</w:t>
            </w:r>
          </w:hyperlink>
        </w:p>
        <w:p>
          <w:pPr>
            <w:pStyle w:val="Contents2"/>
            <w:tabs>
              <w:tab w:val="clear" w:pos="9077"/>
              <w:tab w:val="right" w:pos="9360" w:leader="dot"/>
            </w:tabs>
            <w:rPr/>
          </w:pPr>
          <w:hyperlink w:anchor="__RefHeading___Toc1435_3799018206">
            <w:r>
              <w:rPr>
                <w:rStyle w:val="IndexLink"/>
              </w:rPr>
              <w:t>1.1 Hacktonians Tools and Techniques</w:t>
              <w:tab/>
              <w:t>3</w:t>
            </w:r>
          </w:hyperlink>
        </w:p>
        <w:p>
          <w:pPr>
            <w:pStyle w:val="Contents2"/>
            <w:tabs>
              <w:tab w:val="clear" w:pos="9077"/>
              <w:tab w:val="right" w:pos="9360" w:leader="dot"/>
            </w:tabs>
            <w:rPr/>
          </w:pPr>
          <w:hyperlink w:anchor="__RefHeading___Toc1437_3799018206">
            <w:r>
              <w:rPr>
                <w:rStyle w:val="IndexLink"/>
              </w:rPr>
              <w:t>1.2 Hacktonians Tool Functionality</w:t>
              <w:tab/>
              <w:t>4</w:t>
            </w:r>
          </w:hyperlink>
        </w:p>
        <w:p>
          <w:pPr>
            <w:pStyle w:val="Contents1"/>
            <w:tabs>
              <w:tab w:val="right" w:pos="9360" w:leader="dot"/>
            </w:tabs>
            <w:rPr/>
          </w:pPr>
          <w:hyperlink w:anchor="__RefHeading___Toc1439_3799018206">
            <w:r>
              <w:rPr>
                <w:rStyle w:val="IndexLink"/>
              </w:rPr>
              <w:t>2 Emulation Phases</w:t>
              <w:tab/>
              <w:t>4</w:t>
            </w:r>
          </w:hyperlink>
        </w:p>
        <w:p>
          <w:pPr>
            <w:pStyle w:val="Contents2"/>
            <w:tabs>
              <w:tab w:val="clear" w:pos="9077"/>
              <w:tab w:val="right" w:pos="9360" w:leader="dot"/>
            </w:tabs>
            <w:rPr/>
          </w:pPr>
          <w:hyperlink w:anchor="__RefHeading___Toc1441_3799018206">
            <w:r>
              <w:rPr>
                <w:rStyle w:val="IndexLink"/>
              </w:rPr>
              <w:t>2.1 Phase 1 - RECON</w:t>
              <w:tab/>
              <w:t>4</w:t>
            </w:r>
          </w:hyperlink>
        </w:p>
        <w:p>
          <w:pPr>
            <w:pStyle w:val="Contents2"/>
            <w:tabs>
              <w:tab w:val="clear" w:pos="9077"/>
              <w:tab w:val="right" w:pos="9360" w:leader="dot"/>
            </w:tabs>
            <w:rPr/>
          </w:pPr>
          <w:hyperlink w:anchor="__RefHeading___Toc1443_3799018206">
            <w:r>
              <w:rPr>
                <w:rStyle w:val="IndexLink"/>
              </w:rPr>
              <w:t>2.2 Phase 2 - SCANNING</w:t>
              <w:tab/>
              <w:t>4</w:t>
            </w:r>
          </w:hyperlink>
        </w:p>
        <w:p>
          <w:pPr>
            <w:pStyle w:val="Contents2"/>
            <w:tabs>
              <w:tab w:val="clear" w:pos="9077"/>
              <w:tab w:val="right" w:pos="9360" w:leader="dot"/>
            </w:tabs>
            <w:rPr/>
          </w:pPr>
          <w:hyperlink w:anchor="__RefHeading___Toc1445_3799018206">
            <w:r>
              <w:rPr>
                <w:rStyle w:val="IndexLink"/>
              </w:rPr>
              <w:t>2.3 Phase 3 - EXPLOITATION</w:t>
              <w:tab/>
              <w:t>4</w:t>
            </w:r>
          </w:hyperlink>
        </w:p>
        <w:p>
          <w:pPr>
            <w:pStyle w:val="Contents1"/>
            <w:tabs>
              <w:tab w:val="right" w:pos="9360" w:leader="dot"/>
            </w:tabs>
            <w:rPr/>
          </w:pPr>
          <w:hyperlink w:anchor="__RefHeading___Toc1447_3799018206">
            <w:r>
              <w:rPr>
                <w:rStyle w:val="IndexLink"/>
              </w:rPr>
              <w:t>3 Bibliography</w:t>
              <w:tab/>
              <w:t>4</w:t>
            </w:r>
          </w:hyperlink>
        </w:p>
        <w:p>
          <w:pPr>
            <w:pStyle w:val="Contents1"/>
            <w:tabs>
              <w:tab w:val="right" w:pos="9360" w:leader="dot"/>
            </w:tabs>
            <w:rPr/>
          </w:pPr>
          <w:hyperlink w:anchor="__RefHeading___Toc1449_3799018206">
            <w:r>
              <w:rPr>
                <w:rStyle w:val="IndexLink"/>
              </w:rPr>
              <w:t>4 Appendix</w:t>
              <w:tab/>
              <w:t>5</w:t>
            </w:r>
          </w:hyperlink>
          <w:r>
            <w:rPr>
              <w:rStyle w:val="IndexLink"/>
            </w:rPr>
            <w:fldChar w:fldCharType="end"/>
          </w:r>
        </w:p>
      </w:sdtContent>
    </w:sdt>
    <w:p>
      <w:pPr>
        <w:pStyle w:val="Normal"/>
        <w:rPr/>
      </w:pPr>
      <w:r>
        <w:rPr/>
      </w:r>
    </w:p>
    <w:p>
      <w:pPr>
        <w:pStyle w:val="Normal"/>
        <w:rPr/>
      </w:pPr>
      <w:r>
        <w:rPr/>
      </w:r>
      <w:r>
        <w:br w:type="page"/>
      </w:r>
    </w:p>
    <w:p>
      <w:pPr>
        <w:pStyle w:val="Heading1"/>
        <w:rPr/>
      </w:pPr>
      <w:bookmarkStart w:id="0" w:name="__RefHeading___Toc1431_3799018206"/>
      <w:bookmarkEnd w:id="0"/>
      <w:r>
        <w:rPr/>
        <w:t xml:space="preserve">Threat Emulation Plan: Hacktonians </w:t>
      </w:r>
    </w:p>
    <w:p>
      <w:pPr>
        <w:pStyle w:val="LO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69465" cy="2069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9465" cy="206946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numPr>
          <w:ilvl w:val="0"/>
          <w:numId w:val="1"/>
        </w:numPr>
        <w:ind w:left="432" w:hanging="432"/>
        <w:rPr/>
      </w:pPr>
      <w:bookmarkStart w:id="1" w:name="__RefHeading___Toc1433_3799018206"/>
      <w:bookmarkEnd w:id="1"/>
      <w:r>
        <w:rPr>
          <w:sz w:val="32"/>
          <w:szCs w:val="32"/>
        </w:rPr>
        <w:t>Hacktonians Overview</w:t>
      </w:r>
    </w:p>
    <w:p>
      <w:pPr>
        <w:pStyle w:val="LOnormal"/>
        <w:rPr/>
      </w:pPr>
      <w:r>
        <w:rPr>
          <w:rFonts w:eastAsia="Calibri" w:cs="Calibri"/>
          <w:i/>
        </w:rPr>
        <w:t xml:space="preserve">In this section provides an overview of the threat, including any assumptions made during the development of the TEP. Provides a brief narrative of how the adversary conducts operations. Cites  sources of information where applicable.  </w:t>
      </w:r>
    </w:p>
    <w:p>
      <w:pPr>
        <w:pStyle w:val="LOnormal"/>
        <w:rPr/>
      </w:pPr>
      <w:r>
        <w:rPr>
          <w:rFonts w:eastAsia="Calibri" w:cs="Calibri"/>
          <w:b/>
        </w:rPr>
        <w:t>MITRE ATT&amp;CK Group ID: Hacktonians</w:t>
      </w:r>
    </w:p>
    <w:p>
      <w:pPr>
        <w:pStyle w:val="LOnormal"/>
        <w:rPr/>
      </w:pPr>
      <w:r>
        <w:rPr>
          <w:rFonts w:eastAsia="Calibri" w:cs="Calibri"/>
          <w:b/>
        </w:rPr>
        <w:t xml:space="preserve">Aliases: </w:t>
      </w:r>
      <w:r>
        <w:rPr>
          <w:rFonts w:eastAsia="Calibri" w:cs="Calibri"/>
          <w:b w:val="false"/>
          <w:bCs w:val="false"/>
        </w:rPr>
        <w:t>Quedagh, VOODOO BEAR, Hacktonian, Hacktonians</w:t>
      </w:r>
    </w:p>
    <w:p>
      <w:pPr>
        <w:pStyle w:val="LOnormal"/>
        <w:rPr/>
      </w:pPr>
      <w:r>
        <w:rPr>
          <w:rFonts w:eastAsia="Calibri" w:cs="Calibri"/>
          <w:b/>
        </w:rPr>
        <w:t xml:space="preserve">Operations: </w:t>
      </w:r>
      <w:r>
        <w:rPr/>
        <w:t xml:space="preserve">Hacktonians </w:t>
      </w:r>
      <w:r>
        <w:rPr>
          <w:rFonts w:eastAsia="Calibri" w:cs="Calibri"/>
          <w:color w:val="auto"/>
          <w:kern w:val="0"/>
          <w:sz w:val="22"/>
          <w:szCs w:val="22"/>
          <w:lang w:val="en-US" w:eastAsia="zh-CN" w:bidi="hi-IN"/>
        </w:rPr>
        <w:t>are a criminal group openly affiliated with, and known to support, the APT82n government. They consist of a decentralized network of small criminal cells that span almost every continent. Though at core they are mercenaries, Hacktovians are highly nationalistic  and often leave pro-Krasnovian propoganda messages on compromised systems and websites. Chief motivation is financial gain. Hacktovian cells have been behind some of the most sophisticated hacks in recent Polandian history.</w:t>
      </w:r>
      <w:r>
        <w:rPr/>
        <w:t xml:space="preserve"> They have been known to:</w:t>
      </w:r>
    </w:p>
    <w:p>
      <w:pPr>
        <w:pStyle w:val="LOnormal"/>
        <w:numPr>
          <w:ilvl w:val="0"/>
          <w:numId w:val="2"/>
        </w:numPr>
        <w:spacing w:before="0" w:afterAutospacing="0" w:after="0"/>
        <w:ind w:left="720" w:hanging="360"/>
        <w:rPr/>
      </w:pPr>
      <w:r>
        <w:rPr/>
        <w:t>Wreak general havoc on user systems typically exploiting unpatched systems via direct attacks. They are typically noisy using brute force attacks, DDOS techniques, buffer overflows, or password cracking techniques.</w:t>
      </w:r>
    </w:p>
    <w:p>
      <w:pPr>
        <w:pStyle w:val="LOnormal"/>
        <w:numPr>
          <w:ilvl w:val="0"/>
          <w:numId w:val="2"/>
        </w:numPr>
        <w:spacing w:before="0" w:afterAutospacing="0" w:after="0"/>
        <w:ind w:left="720" w:hanging="360"/>
        <w:rPr/>
      </w:pPr>
      <w:r>
        <w:rPr/>
        <w:t>Reported techniques include the entire sprectrum of interference including: Bypass User Account Control, Credentials in Files, Data Destruction, Fallback Channels, File and Directory Discovery, File System Permissions Weakness, Indicator Removal on Host, Input Capture, Network Service Scanning, New Service, Peripheral Device Discovery, Process Discovery, Process Injection, Registry Run Keys / Startup Folder, Screen Capture, Shortcut Modification, Standard Application Layer Protocol, System Information Discovery, System Network Configuration Discovery, System Network Connections Discovery, Windows Admin Shares, Windows Management Instrumentation</w:t>
      </w:r>
    </w:p>
    <w:p>
      <w:pPr>
        <w:pStyle w:val="LOnormal"/>
        <w:rPr/>
      </w:pPr>
      <w:r>
        <w:rPr>
          <w:rFonts w:eastAsia="Calibri" w:cs="Calibri"/>
          <w:b/>
        </w:rPr>
        <w:t xml:space="preserve">Target Industries: </w:t>
      </w:r>
      <w:r>
        <w:rPr/>
        <w:t>Government entities, agencies, and infrastructure as well as private enterprise or even private individual depending upon their financial sponsor’s agenda.</w:t>
      </w:r>
    </w:p>
    <w:p>
      <w:pPr>
        <w:pStyle w:val="LOnormal"/>
        <w:rPr/>
      </w:pPr>
      <w:r>
        <w:rPr>
          <w:rFonts w:eastAsia="Calibri" w:cs="Calibri"/>
          <w:b/>
        </w:rPr>
        <w:t xml:space="preserve">Objectives: </w:t>
      </w:r>
      <w:r>
        <w:rPr>
          <w:b/>
        </w:rPr>
        <w:t xml:space="preserve"> </w:t>
      </w:r>
      <w:r>
        <w:rPr>
          <w:b w:val="false"/>
          <w:bCs w:val="false"/>
        </w:rPr>
        <w:t>Financial Gain.</w:t>
      </w:r>
    </w:p>
    <w:p>
      <w:pPr>
        <w:pStyle w:val="LOnormal"/>
        <w:rPr/>
      </w:pPr>
      <w:r>
        <w:rPr>
          <w:rFonts w:eastAsia="Calibri" w:cs="Calibri"/>
          <w:b/>
        </w:rPr>
        <w:t xml:space="preserve">Background: </w:t>
      </w:r>
      <w:r>
        <w:rPr>
          <w:b w:val="false"/>
          <w:bCs w:val="false"/>
        </w:rPr>
        <w:t xml:space="preserve">Hacktonians </w:t>
      </w:r>
      <w:r>
        <w:rPr>
          <w:rFonts w:eastAsia="Calibri" w:cs="Calibri"/>
          <w:b w:val="false"/>
          <w:bCs w:val="false"/>
          <w:color w:val="auto"/>
          <w:kern w:val="0"/>
          <w:sz w:val="22"/>
          <w:szCs w:val="22"/>
          <w:lang w:val="en-US" w:eastAsia="zh-CN" w:bidi="hi-IN"/>
        </w:rPr>
        <w:t>are</w:t>
      </w:r>
      <w:r>
        <w:rPr>
          <w:b w:val="false"/>
          <w:bCs w:val="false"/>
        </w:rPr>
        <w:t xml:space="preserve"> a </w:t>
      </w:r>
      <w:r>
        <w:rPr>
          <w:rFonts w:eastAsia="Calibri" w:cs="Calibri"/>
          <w:b w:val="false"/>
          <w:bCs w:val="false"/>
          <w:color w:val="auto"/>
          <w:kern w:val="0"/>
          <w:sz w:val="22"/>
          <w:szCs w:val="22"/>
          <w:lang w:val="en-US" w:eastAsia="zh-CN" w:bidi="hi-IN"/>
        </w:rPr>
        <w:t>Krasnovian</w:t>
      </w:r>
      <w:r>
        <w:rPr>
          <w:b w:val="false"/>
          <w:bCs w:val="false"/>
        </w:rPr>
        <w:t xml:space="preserve"> cyber espionage group that has operated since approximately 2009. The group likely consists of </w:t>
      </w:r>
      <w:r>
        <w:rPr>
          <w:rFonts w:eastAsia="Calibri" w:cs="Calibri"/>
          <w:b w:val="false"/>
          <w:bCs w:val="false"/>
          <w:color w:val="auto"/>
          <w:kern w:val="0"/>
          <w:sz w:val="22"/>
          <w:szCs w:val="22"/>
          <w:lang w:val="en-US" w:eastAsia="zh-CN" w:bidi="hi-IN"/>
        </w:rPr>
        <w:t>Krasnovian</w:t>
      </w:r>
      <w:r>
        <w:rPr>
          <w:b w:val="false"/>
          <w:bCs w:val="false"/>
        </w:rPr>
        <w:t xml:space="preserve"> pro-hacktivists. Hacktonian targets mainly </w:t>
      </w:r>
      <w:r>
        <w:rPr>
          <w:rFonts w:eastAsia="Calibri" w:cs="Calibri"/>
          <w:b w:val="false"/>
          <w:bCs w:val="false"/>
          <w:color w:val="auto"/>
          <w:kern w:val="0"/>
          <w:sz w:val="22"/>
          <w:szCs w:val="22"/>
          <w:lang w:val="en-US" w:eastAsia="zh-CN" w:bidi="hi-IN"/>
        </w:rPr>
        <w:t>Polandian</w:t>
      </w:r>
      <w:r>
        <w:rPr>
          <w:b w:val="false"/>
          <w:bCs w:val="false"/>
        </w:rPr>
        <w:t xml:space="preserve"> entities associated with energy, industrial control systems, SCADA, government, and media. Hacktonian have been linked to the </w:t>
      </w:r>
      <w:r>
        <w:rPr>
          <w:rFonts w:eastAsia="Calibri" w:cs="Calibri"/>
          <w:b w:val="false"/>
          <w:bCs w:val="false"/>
          <w:color w:val="auto"/>
          <w:kern w:val="0"/>
          <w:sz w:val="22"/>
          <w:szCs w:val="22"/>
          <w:lang w:val="en-US" w:eastAsia="zh-CN" w:bidi="hi-IN"/>
        </w:rPr>
        <w:t>Polandian</w:t>
      </w:r>
      <w:r>
        <w:rPr>
          <w:b w:val="false"/>
          <w:bCs w:val="false"/>
        </w:rPr>
        <w:t xml:space="preserve"> energy sector attack in late 2015. Because of their nationalist fundamentalism, it is believed that their available clientele is limited based on national origin.</w:t>
      </w:r>
    </w:p>
    <w:p>
      <w:pPr>
        <w:pStyle w:val="Heading2"/>
        <w:numPr>
          <w:ilvl w:val="1"/>
          <w:numId w:val="1"/>
        </w:numPr>
        <w:ind w:left="576" w:hanging="576"/>
        <w:rPr/>
      </w:pPr>
      <w:bookmarkStart w:id="2" w:name="__RefHeading___Toc1435_3799018206"/>
      <w:bookmarkEnd w:id="2"/>
      <w:r>
        <w:rPr>
          <w:sz w:val="24"/>
          <w:szCs w:val="24"/>
        </w:rPr>
        <w:t xml:space="preserve">Hacktonians </w:t>
      </w:r>
      <w:r>
        <w:rPr>
          <w:rFonts w:eastAsia="" w:cs=""/>
          <w:b/>
          <w:bCs/>
          <w:smallCaps/>
          <w:color w:val="000000"/>
          <w:sz w:val="24"/>
          <w:szCs w:val="24"/>
        </w:rPr>
        <w:t>Tools and Techniques</w:t>
      </w:r>
    </w:p>
    <w:p>
      <w:pPr>
        <w:pStyle w:val="LOnormal"/>
        <w:spacing w:lineRule="auto" w:line="240" w:before="0" w:after="0"/>
        <w:rPr/>
      </w:pPr>
      <w:r>
        <w:rPr>
          <w:i/>
        </w:rPr>
        <w:t>Hacktonians employs these tools and techniques:</w:t>
      </w:r>
    </w:p>
    <w:tbl>
      <w:tblPr>
        <w:tblW w:w="9360" w:type="dxa"/>
        <w:jc w:val="left"/>
        <w:tblInd w:w="0" w:type="dxa"/>
        <w:tblCellMar>
          <w:top w:w="28" w:type="dxa"/>
          <w:left w:w="28" w:type="dxa"/>
          <w:bottom w:w="28" w:type="dxa"/>
          <w:right w:w="28" w:type="dxa"/>
        </w:tblCellMar>
      </w:tblPr>
      <w:tblGrid>
        <w:gridCol w:w="3533"/>
        <w:gridCol w:w="5826"/>
      </w:tblGrid>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 Used</w:t>
            </w:r>
          </w:p>
        </w:tc>
        <w:tc>
          <w:tcPr>
            <w:tcW w:w="5826"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Use</w:t>
            </w:r>
          </w:p>
        </w:tc>
      </w:tr>
      <w:tr>
        <w:trPr>
          <w:trHeight w:val="326" w:hRule="atLeast"/>
        </w:trPr>
        <w:tc>
          <w:tcPr>
            <w:tcW w:w="35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pPr>
            <w:r>
              <w:rPr>
                <w:rFonts w:eastAsia="Calibri" w:cs="Calibri"/>
                <w:color w:val="000000"/>
                <w:kern w:val="0"/>
                <w:sz w:val="22"/>
                <w:szCs w:val="22"/>
                <w:lang w:val="en-US" w:eastAsia="zh-CN" w:bidi="hi-IN"/>
              </w:rPr>
              <w:t>Hacktonians use any technique that is available and have no consistent fingerprint but include the following:</w:t>
            </w:r>
          </w:p>
        </w:tc>
        <w:tc>
          <w:tcPr>
            <w:tcW w:w="5826"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pPr>
            <w:r>
              <w:rPr>
                <w:rFonts w:eastAsia="Calibri" w:cs="Calibri"/>
                <w:color w:val="000000"/>
                <w:kern w:val="0"/>
                <w:sz w:val="22"/>
                <w:szCs w:val="22"/>
                <w:lang w:val="en-US" w:eastAsia="zh-CN" w:bidi="hi-IN"/>
              </w:rPr>
              <w:t>Hacktonioan intent is to create havoc or strong arm compromised organizations into paying ransoms.</w:t>
            </w:r>
            <w:r>
              <w:rPr>
                <w:color w:val="000000"/>
              </w:rPr>
              <w:t xml:space="preserve"> </w:t>
            </w:r>
          </w:p>
        </w:tc>
      </w:tr>
      <w:tr>
        <w:trPr>
          <w:trHeight w:val="326" w:hRule="atLeast"/>
        </w:trPr>
        <w:tc>
          <w:tcPr>
            <w:tcW w:w="3533" w:type="dxa"/>
            <w:tcBorders>
              <w:left w:val="single" w:sz="2" w:space="0" w:color="000000"/>
              <w:bottom w:val="single" w:sz="2" w:space="0" w:color="000000"/>
              <w:right w:val="single" w:sz="2" w:space="0" w:color="000000"/>
            </w:tcBorders>
            <w:shd w:fill="auto" w:val="clear"/>
          </w:tcPr>
          <w:p>
            <w:pPr>
              <w:pStyle w:val="LOnormal"/>
              <w:spacing w:before="0" w:afterAutospacing="0" w:after="0"/>
              <w:ind w:left="720" w:hanging="360"/>
              <w:jc w:val="left"/>
              <w:rPr/>
            </w:pPr>
            <w:r>
              <w:rPr/>
              <w:t>Bypass User Account Control, Credentials in Files, Data Destruction, Fallback Channels, File and Directory Discovery, File System Permissions Weakness, Indicator Removal on Host, Input Capture, Network Service Scanning, New Service, Peripheral Device Discovery, Process Discovery, Process Injection, Registry Run Keys / Startup Folder, Screen Capture, Shortcut Modification, Standard Application Layer Protocol, System Information Discovery, System Network Configuration Discovery, System Network Connections Discovery, Windows Admin Shares, Windows Management Instrumentation</w:t>
            </w:r>
          </w:p>
        </w:tc>
        <w:tc>
          <w:tcPr>
            <w:tcW w:w="5826" w:type="dxa"/>
            <w:tcBorders>
              <w:left w:val="single" w:sz="2" w:space="0" w:color="000000"/>
              <w:bottom w:val="single" w:sz="2" w:space="0" w:color="000000"/>
              <w:right w:val="single" w:sz="2" w:space="0" w:color="000000"/>
            </w:tcBorders>
            <w:shd w:fill="auto" w:val="clear"/>
            <w:vAlign w:val="bottom"/>
          </w:tcPr>
          <w:p>
            <w:pPr>
              <w:pStyle w:val="LOnormal"/>
              <w:spacing w:before="0" w:afterAutospacing="0" w:after="0"/>
              <w:ind w:left="720" w:hanging="360"/>
              <w:jc w:val="left"/>
              <w:rPr/>
            </w:pPr>
            <w:r>
              <w:rPr/>
            </w:r>
          </w:p>
        </w:tc>
      </w:tr>
    </w:tbl>
    <w:p>
      <w:pPr>
        <w:pStyle w:val="Heading2"/>
        <w:numPr>
          <w:ilvl w:val="1"/>
          <w:numId w:val="1"/>
        </w:numPr>
        <w:ind w:left="576" w:hanging="576"/>
        <w:rPr/>
      </w:pPr>
      <w:bookmarkStart w:id="3" w:name="__RefHeading___Toc1437_3799018206"/>
      <w:bookmarkEnd w:id="3"/>
      <w:r>
        <w:rPr>
          <w:sz w:val="24"/>
          <w:szCs w:val="24"/>
        </w:rPr>
        <w:t>Hacktonians Tool Functionality</w:t>
      </w:r>
    </w:p>
    <w:tbl>
      <w:tblPr>
        <w:tblW w:w="9360" w:type="dxa"/>
        <w:jc w:val="left"/>
        <w:tblInd w:w="0" w:type="dxa"/>
        <w:tblCellMar>
          <w:top w:w="28" w:type="dxa"/>
          <w:left w:w="28" w:type="dxa"/>
          <w:bottom w:w="28" w:type="dxa"/>
          <w:right w:w="28" w:type="dxa"/>
        </w:tblCellMar>
      </w:tblPr>
      <w:tblGrid>
        <w:gridCol w:w="2705"/>
        <w:gridCol w:w="6654"/>
      </w:tblGrid>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pPr>
            <w:r>
              <w:rPr>
                <w:b/>
                <w:color w:val="000000"/>
              </w:rPr>
              <w:t>Tool</w:t>
            </w:r>
          </w:p>
        </w:tc>
        <w:tc>
          <w:tcPr>
            <w:tcW w:w="6654"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w:t>
            </w:r>
          </w:p>
        </w:tc>
      </w:tr>
      <w:tr>
        <w:trPr>
          <w:trHeight w:val="326" w:hRule="atLeast"/>
        </w:trPr>
        <w:tc>
          <w:tcPr>
            <w:tcW w:w="270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rFonts w:ascii="Calibri" w:hAnsi="Calibri" w:eastAsia="Calibri" w:cs="Calibri"/>
                <w:color w:val="000000"/>
                <w:kern w:val="0"/>
                <w:sz w:val="22"/>
                <w:szCs w:val="22"/>
                <w:lang w:val="en-US" w:eastAsia="zh-CN" w:bidi="hi-IN"/>
              </w:rPr>
            </w:pPr>
            <w:r>
              <w:rPr>
                <w:rFonts w:eastAsia="Calibri" w:cs="Calibri"/>
                <w:color w:val="000000"/>
                <w:kern w:val="0"/>
                <w:sz w:val="22"/>
                <w:szCs w:val="22"/>
                <w:lang w:val="en-US" w:eastAsia="zh-CN" w:bidi="hi-IN"/>
              </w:rPr>
              <w:t>BlackEnergy</w:t>
            </w:r>
          </w:p>
        </w:tc>
        <w:tc>
          <w:tcPr>
            <w:tcW w:w="66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pPr>
            <w:r>
              <w:rPr>
                <w:color w:val="000000"/>
              </w:rPr>
              <w:t xml:space="preserve"> </w:t>
            </w:r>
            <w:r>
              <w:rPr>
                <w:color w:val="000000"/>
              </w:rPr>
              <w:tab/>
              <w:t>Bypass User Account Control, Credentials in Files, Data Destruction, Fallback Channels, File and Directory Discovery, File System Permissions Weakness, Indicator Removal on Host, Input Capture, Network Service Scanning, New Service, Peripheral Device Discovery, Process Discovery, Process Injection, Registry Run Keys / Startup Folder, Screen Capture, Shortcut Modification, Standard Application Layer Protocol, System Information Discovery, System Network Configuration Discovery, System Network Connections Discovery, Windows Admin Shares, Windows Management Instrumentation</w:t>
            </w:r>
          </w:p>
        </w:tc>
      </w:tr>
    </w:tbl>
    <w:p>
      <w:pPr>
        <w:pStyle w:val="Heading1"/>
        <w:numPr>
          <w:ilvl w:val="0"/>
          <w:numId w:val="1"/>
        </w:numPr>
        <w:ind w:left="432" w:hanging="432"/>
        <w:rPr/>
      </w:pPr>
      <w:bookmarkStart w:id="4" w:name="__RefHeading___Toc1439_3799018206"/>
      <w:bookmarkEnd w:id="4"/>
      <w:r>
        <w:rPr>
          <w:sz w:val="32"/>
          <w:szCs w:val="32"/>
        </w:rPr>
        <w:t>Emulation Phases</w:t>
      </w:r>
    </w:p>
    <w:p>
      <w:pPr>
        <w:pStyle w:val="Normal"/>
        <w:rPr/>
      </w:pPr>
      <w:r>
        <w:rPr>
          <w:rFonts w:eastAsia="Calibri" w:cs="Calibri"/>
          <w:b/>
          <w:bCs/>
          <w:i/>
          <w:color w:val="000000"/>
          <w:spacing w:val="0"/>
          <w:sz w:val="22"/>
        </w:rPr>
        <w:t xml:space="preserve">Most likely: </w:t>
      </w:r>
      <w:r>
        <w:rPr>
          <w:rFonts w:eastAsia="Calibri" w:cs="Calibri"/>
          <w:i/>
          <w:color w:val="000000"/>
          <w:spacing w:val="0"/>
          <w:sz w:val="22"/>
        </w:rPr>
        <w:t>S</w:t>
      </w:r>
      <w:r>
        <w:rPr>
          <w:rFonts w:eastAsia="Calibri" w:cs="Calibri"/>
          <w:i/>
          <w:color w:val="000000"/>
          <w:spacing w:val="0"/>
          <w:kern w:val="0"/>
          <w:sz w:val="22"/>
          <w:szCs w:val="22"/>
          <w:lang w:val="en-US" w:eastAsia="zh-CN" w:bidi="hi-IN"/>
        </w:rPr>
        <w:t>ocial engineering attacks are recently attributed to a Hacktonian splinter group. Hacking unpatched systems with poor firewall rules and no anti-virus is likely. Hactonians most recently claimed responsibility for compromising ICS/SCADA systems  in Polandia.</w:t>
      </w:r>
    </w:p>
    <w:p>
      <w:pPr>
        <w:pStyle w:val="Normal"/>
        <w:rPr/>
      </w:pPr>
      <w:r>
        <w:rPr>
          <w:rFonts w:eastAsia="Calibri" w:cs="Calibri"/>
          <w:b/>
          <w:bCs/>
          <w:i/>
          <w:color w:val="000000"/>
          <w:spacing w:val="0"/>
          <w:sz w:val="22"/>
        </w:rPr>
        <w:t xml:space="preserve">Recommendation: </w:t>
      </w:r>
      <w:r>
        <w:rPr>
          <w:rFonts w:eastAsia="Calibri" w:cs="Calibri"/>
          <w:b w:val="false"/>
          <w:bCs w:val="false"/>
          <w:i/>
          <w:color w:val="000000"/>
          <w:spacing w:val="0"/>
          <w:sz w:val="22"/>
        </w:rPr>
        <w:t>R</w:t>
      </w:r>
      <w:r>
        <w:rPr>
          <w:rFonts w:eastAsia="Calibri" w:cs="Calibri"/>
          <w:i/>
          <w:color w:val="000000"/>
          <w:spacing w:val="0"/>
          <w:sz w:val="22"/>
        </w:rPr>
        <w:t>eview/Search Download histories and Browser Histories. Educate users on social engineering techniques. Harden and monitor vulnerable ICS/SCADA systems.</w:t>
      </w:r>
    </w:p>
    <w:p>
      <w:pPr>
        <w:pStyle w:val="Heading2"/>
        <w:numPr>
          <w:ilvl w:val="1"/>
          <w:numId w:val="1"/>
        </w:numPr>
        <w:spacing w:lineRule="auto" w:line="240"/>
        <w:ind w:left="576" w:hanging="576"/>
        <w:rPr/>
      </w:pPr>
      <w:bookmarkStart w:id="5" w:name="__RefHeading___Toc1441_3799018206"/>
      <w:bookmarkEnd w:id="5"/>
      <w:r>
        <w:rPr/>
        <w:t>Phase 1 - RECON</w:t>
      </w:r>
    </w:p>
    <w:p>
      <w:pPr>
        <w:pStyle w:val="LOnormal"/>
        <w:ind w:left="576" w:hanging="0"/>
        <w:rPr/>
      </w:pPr>
      <w:r>
        <w:rPr>
          <w:color w:val="222222"/>
          <w:sz w:val="21"/>
          <w:szCs w:val="21"/>
          <w:highlight w:val="white"/>
        </w:rPr>
        <w:t>The attack starts with Hacktonians being contracted to attack a known target. Their sponsors agenda will largely influence the nature of the reconnaissance performed though they are known to use the social engineering tool-kits and reconnaissance tools available in CyberHawk.</w:t>
      </w:r>
    </w:p>
    <w:p>
      <w:pPr>
        <w:pStyle w:val="Heading2"/>
        <w:numPr>
          <w:ilvl w:val="1"/>
          <w:numId w:val="1"/>
        </w:numPr>
        <w:rPr/>
      </w:pPr>
      <w:bookmarkStart w:id="6" w:name="__RefHeading___Toc1443_3799018206"/>
      <w:bookmarkStart w:id="7" w:name="_heading=h.pmu5wda7ellj"/>
      <w:bookmarkEnd w:id="6"/>
      <w:bookmarkEnd w:id="7"/>
      <w:r>
        <w:rPr/>
        <w:t xml:space="preserve">Phase 2 - SCANNING </w:t>
      </w:r>
    </w:p>
    <w:p>
      <w:pPr>
        <w:pStyle w:val="LOnormal"/>
        <w:ind w:left="576" w:hanging="0"/>
        <w:rPr/>
      </w:pPr>
      <w:r>
        <w:rPr/>
        <w:t>Hacktonians have gained access to ICS/SCADA systems via very sophisticated toolset dubbed BlackEnergy. The exploits leverage microwave explloits as well as unique Modbus exploits present due to misconfigured devices or a lack of hardened installations.</w:t>
      </w:r>
    </w:p>
    <w:p>
      <w:pPr>
        <w:pStyle w:val="Heading2"/>
        <w:numPr>
          <w:ilvl w:val="1"/>
          <w:numId w:val="1"/>
        </w:numPr>
        <w:spacing w:lineRule="auto" w:line="240"/>
        <w:rPr/>
      </w:pPr>
      <w:bookmarkStart w:id="8" w:name="__RefHeading___Toc1445_3799018206"/>
      <w:bookmarkStart w:id="9" w:name="_heading=h.1vqobxjrdzxj"/>
      <w:bookmarkEnd w:id="8"/>
      <w:bookmarkEnd w:id="9"/>
      <w:r>
        <w:rPr/>
        <w:t xml:space="preserve">Phase 3 - EXPLOITATION </w:t>
      </w:r>
    </w:p>
    <w:p>
      <w:pPr>
        <w:pStyle w:val="LOnormal"/>
        <w:ind w:left="576" w:hanging="0"/>
        <w:rPr/>
      </w:pPr>
      <w:r>
        <w:rPr/>
        <w:t>Hacktonians rely on toolkits such as Cyberhawk and BlackEnergy to compromise systems. They are noisy and unafraid to take over systems “in the clear” though they have sophisticated and nearly undetectable toolkits that allow them to deface websites.</w:t>
      </w:r>
    </w:p>
    <w:p>
      <w:pPr>
        <w:pStyle w:val="Heading1"/>
        <w:numPr>
          <w:ilvl w:val="0"/>
          <w:numId w:val="1"/>
        </w:numPr>
        <w:ind w:left="432" w:hanging="432"/>
        <w:rPr>
          <w:sz w:val="32"/>
          <w:szCs w:val="32"/>
        </w:rPr>
      </w:pPr>
      <w:bookmarkStart w:id="10" w:name="__RefHeading___Toc1447_3799018206"/>
      <w:bookmarkEnd w:id="10"/>
      <w:r>
        <w:rPr>
          <w:sz w:val="32"/>
          <w:szCs w:val="32"/>
        </w:rPr>
        <w:t>Bibliography</w:t>
      </w:r>
    </w:p>
    <w:p>
      <w:pPr>
        <w:pStyle w:val="Normal"/>
        <w:rPr/>
      </w:pPr>
      <w:r>
        <w:rPr/>
        <w:t>Hultquist, J.. (2016, January 7). Sandworm Team and the Ukrainian Power Authority Attacks. Retrieved October 6, 2017.</w:t>
      </w:r>
    </w:p>
    <w:p>
      <w:pPr>
        <w:pStyle w:val="Normal"/>
        <w:rPr/>
      </w:pPr>
      <w:r>
        <w:rPr/>
        <w:t>Meyers, A. (2018, January 19). Meet CrowdStrike’s Adversary of the Month for January: VOODOO BEAR. Retrieved May 22, 2018.</w:t>
      </w:r>
    </w:p>
    <w:p>
      <w:pPr>
        <w:pStyle w:val="Normal"/>
        <w:rPr/>
      </w:pPr>
      <w:r>
        <w:rPr/>
        <w:t>F-Secure Labs. (2014). BlackEnergy &amp; Quedagh: The convergence of crimeware and APT attacks. Retrieved March 24, 2016.</w:t>
      </w:r>
    </w:p>
    <w:p>
      <w:pPr>
        <w:pStyle w:val="Heading1"/>
        <w:numPr>
          <w:ilvl w:val="0"/>
          <w:numId w:val="1"/>
        </w:numPr>
        <w:ind w:left="432" w:hanging="432"/>
        <w:rPr/>
      </w:pPr>
      <w:bookmarkStart w:id="11" w:name="__RefHeading___Toc1449_3799018206"/>
      <w:bookmarkEnd w:id="11"/>
      <w:r>
        <w:rPr>
          <w:sz w:val="32"/>
          <w:szCs w:val="32"/>
        </w:rPr>
        <w:t>Appendix</w:t>
      </w:r>
    </w:p>
    <w:p>
      <w:pPr>
        <w:pStyle w:val="LOnormal"/>
        <w:rPr>
          <w:b/>
          <w:b/>
          <w:bCs/>
        </w:rPr>
      </w:pPr>
      <w:r>
        <w:rPr>
          <w:b/>
          <w:bCs/>
        </w:rPr>
        <w:t>Hardening recommendations:</w:t>
      </w:r>
    </w:p>
    <w:p>
      <w:pPr>
        <w:pStyle w:val="LOnormal"/>
        <w:rPr>
          <w:b/>
          <w:b/>
          <w:bCs/>
        </w:rPr>
      </w:pPr>
      <w:r>
        <w:rPr>
          <w:b/>
          <w:bCs/>
        </w:rPr>
        <w:t>Network</w:t>
      </w:r>
    </w:p>
    <w:p>
      <w:pPr>
        <w:pStyle w:val="LOnormal"/>
        <w:rPr/>
      </w:pPr>
      <w:r>
        <w:rPr/>
        <w:t>Implement Access control lists within routers/Firewalls:</w:t>
      </w:r>
    </w:p>
    <w:p>
      <w:pPr>
        <w:pStyle w:val="LOnormal"/>
        <w:rPr/>
      </w:pPr>
      <w:r>
        <w:rPr/>
        <w:t>Access control lists should be defined permitting only the required traffic</w:t>
      </w:r>
    </w:p>
    <w:p>
      <w:pPr>
        <w:pStyle w:val="LOnormal"/>
        <w:rPr/>
      </w:pPr>
      <w:r>
        <w:rPr/>
        <w:t>Reduce risk of unauthorized lateral movement</w:t>
      </w:r>
    </w:p>
    <w:p>
      <w:pPr>
        <w:pStyle w:val="LOnormal"/>
        <w:rPr/>
      </w:pPr>
      <w:r>
        <w:rPr/>
        <w:t>Deny externally established connections into Network</w:t>
      </w:r>
    </w:p>
    <w:p>
      <w:pPr>
        <w:pStyle w:val="LOnormal"/>
        <w:rPr/>
      </w:pPr>
      <w:r>
        <w:rPr/>
        <w:t>Harden Router/Firewall User Account Access</w:t>
      </w:r>
    </w:p>
    <w:p>
      <w:pPr>
        <w:pStyle w:val="LOnormal"/>
        <w:rPr/>
      </w:pPr>
      <w:r>
        <w:rPr/>
        <w:t xml:space="preserve">Restrict management access to a defined list of internal hosts, using only encrypted protocol such as SSH </w:t>
      </w:r>
    </w:p>
    <w:p>
      <w:pPr>
        <w:pStyle w:val="LOnormal"/>
        <w:rPr>
          <w:b/>
          <w:b/>
          <w:bCs/>
        </w:rPr>
      </w:pPr>
      <w:r>
        <w:rPr>
          <w:b/>
          <w:bCs/>
        </w:rPr>
        <w:t xml:space="preserve">Workstations </w:t>
      </w:r>
    </w:p>
    <w:p>
      <w:pPr>
        <w:pStyle w:val="LOnormal"/>
        <w:rPr/>
      </w:pPr>
      <w:r>
        <w:rPr/>
        <w:t>Disable administrator accounts on machines</w:t>
      </w:r>
    </w:p>
    <w:p>
      <w:pPr>
        <w:pStyle w:val="LOnormal"/>
        <w:rPr/>
      </w:pPr>
      <w:r>
        <w:rPr/>
        <w:t>Disable guest accounts</w:t>
      </w:r>
    </w:p>
    <w:p>
      <w:pPr>
        <w:pStyle w:val="LOnormal"/>
        <w:rPr/>
      </w:pPr>
      <w:r>
        <w:rPr/>
        <w:t>Remove miscellaneous accounts</w:t>
      </w:r>
    </w:p>
    <w:p>
      <w:pPr>
        <w:pStyle w:val="LOnormal"/>
        <w:rPr/>
      </w:pPr>
      <w:r>
        <w:rPr/>
        <w:t xml:space="preserve">Disable all unnecessary services </w:t>
      </w:r>
    </w:p>
    <w:p>
      <w:pPr>
        <w:pStyle w:val="LOnormal"/>
        <w:rPr/>
      </w:pPr>
      <w:r>
        <w:rPr/>
        <w:t>Enable host firewalls &amp; ensure all system firewalls are turned on with standardized rules</w:t>
      </w:r>
    </w:p>
    <w:p>
      <w:pPr>
        <w:pStyle w:val="LOnormal"/>
        <w:rPr/>
      </w:pPr>
      <w:r>
        <w:rPr/>
        <w:t>Update workstations with latest patches</w:t>
      </w:r>
    </w:p>
    <w:p>
      <w:pPr>
        <w:pStyle w:val="LOnormal"/>
        <w:rPr/>
      </w:pPr>
      <w:r>
        <w:rPr/>
        <w:t>Microsoft patches</w:t>
      </w:r>
    </w:p>
    <w:p>
      <w:pPr>
        <w:pStyle w:val="LOnormal"/>
        <w:rPr/>
      </w:pPr>
      <w:r>
        <w:rPr/>
        <w:t>All other vendor patches</w:t>
      </w:r>
    </w:p>
    <w:p>
      <w:pPr>
        <w:pStyle w:val="LOnormal"/>
        <w:rPr>
          <w:b/>
          <w:b/>
          <w:bCs/>
        </w:rPr>
      </w:pPr>
      <w:r>
        <w:rPr>
          <w:b/>
          <w:bCs/>
        </w:rPr>
        <w:t>Servers</w:t>
      </w:r>
    </w:p>
    <w:p>
      <w:pPr>
        <w:pStyle w:val="LOnormal"/>
        <w:rPr/>
      </w:pPr>
      <w:r>
        <w:rPr/>
        <w:t>Create a backup of the database instance</w:t>
      </w:r>
    </w:p>
    <w:p>
      <w:pPr>
        <w:pStyle w:val="LOnormal"/>
        <w:rPr/>
      </w:pPr>
      <w:r>
        <w:rPr/>
        <w:t xml:space="preserve">Reassign the MSSQL to a non-standard port </w:t>
      </w:r>
    </w:p>
    <w:p>
      <w:pPr>
        <w:pStyle w:val="LOnormal"/>
        <w:rPr/>
      </w:pPr>
      <w:r>
        <w:rPr/>
        <w:t>Turn off SQL Server browser service</w:t>
      </w:r>
    </w:p>
    <w:p>
      <w:pPr>
        <w:pStyle w:val="LOnormal"/>
        <w:rPr/>
      </w:pPr>
      <w:r>
        <w:rPr/>
        <w:t xml:space="preserve">Turn off named pipes </w:t>
      </w:r>
    </w:p>
    <w:p>
      <w:pPr>
        <w:pStyle w:val="LOnormal"/>
        <w:rPr/>
      </w:pPr>
      <w:r>
        <w:rPr/>
        <w:t>Disable unnecessary services</w:t>
      </w:r>
    </w:p>
    <w:p>
      <w:pPr>
        <w:pStyle w:val="LOnormal"/>
        <w:rPr/>
      </w:pPr>
      <w:r>
        <w:rPr/>
        <w:t>Restrict access to the DB backup</w:t>
      </w:r>
    </w:p>
    <w:p>
      <w:pPr>
        <w:pStyle w:val="LOnormal"/>
        <w:rPr/>
      </w:pPr>
      <w:r>
        <w:rPr/>
        <w:t xml:space="preserve">Patch the system to the latest KB </w:t>
      </w:r>
    </w:p>
    <w:p>
      <w:pPr>
        <w:pStyle w:val="LOnormal"/>
        <w:rPr>
          <w:b/>
          <w:b/>
          <w:bCs/>
        </w:rPr>
      </w:pPr>
      <w:r>
        <w:rPr>
          <w:b/>
          <w:bCs/>
        </w:rPr>
        <w:t>Active Directory</w:t>
      </w:r>
    </w:p>
    <w:p>
      <w:pPr>
        <w:pStyle w:val="LOnormal"/>
        <w:rPr/>
      </w:pPr>
      <w:r>
        <w:rPr/>
        <w:t>Enable Windows Firewalls for domain client machines</w:t>
      </w:r>
    </w:p>
    <w:p>
      <w:pPr>
        <w:pStyle w:val="LOnormal"/>
        <w:rPr/>
      </w:pPr>
      <w:r>
        <w:rPr/>
        <w:t>Disable HTTP listeners and use WinRM over HTTPS</w:t>
      </w:r>
    </w:p>
    <w:p>
      <w:pPr>
        <w:pStyle w:val="LOnormal"/>
        <w:rPr/>
      </w:pPr>
      <w:r>
        <w:rPr/>
        <w:t>Deploy Sysmon to monitor AD domain controllers</w:t>
      </w:r>
    </w:p>
    <w:p>
      <w:pPr>
        <w:pStyle w:val="LOnormal"/>
        <w:rPr/>
      </w:pPr>
      <w:r>
        <w:rPr/>
        <w:t>Deny user write to unauthorized locations</w:t>
      </w:r>
    </w:p>
    <w:p>
      <w:pPr>
        <w:pStyle w:val="LOnormal"/>
        <w:rPr/>
      </w:pPr>
      <w:r>
        <w:rPr/>
        <w:t>Enforce strong password policy</w:t>
      </w:r>
    </w:p>
    <w:p>
      <w:pPr>
        <w:pStyle w:val="LOnormal"/>
        <w:rPr/>
      </w:pPr>
      <w:r>
        <w:rPr/>
        <w:t>Complex password required</w:t>
      </w:r>
    </w:p>
    <w:p>
      <w:pPr>
        <w:pStyle w:val="LOnormal"/>
        <w:rPr/>
      </w:pPr>
      <w:r>
        <w:rPr/>
        <w:t>Enforce Password expiration</w:t>
      </w:r>
    </w:p>
    <w:p>
      <w:pPr>
        <w:pStyle w:val="LOnormal"/>
        <w:rPr/>
      </w:pPr>
      <w:r>
        <w:rPr/>
        <w:t>Password age set to 60 days to lock inactive accounts</w:t>
      </w:r>
    </w:p>
    <w:p>
      <w:pPr>
        <w:pStyle w:val="LOnormal"/>
        <w:widowControl/>
        <w:bidi w:val="0"/>
        <w:spacing w:lineRule="auto" w:line="259" w:before="0" w:after="160"/>
        <w:jc w:val="left"/>
        <w:rPr>
          <w:b/>
          <w:b/>
          <w:bCs/>
        </w:rPr>
      </w:pPr>
      <w:r>
        <w:rPr>
          <w:b/>
          <w:bCs/>
        </w:rPr>
        <w:t>ICS/SCADA</w:t>
      </w:r>
    </w:p>
    <w:p>
      <w:pPr>
        <w:pStyle w:val="LOnormal"/>
        <w:widowControl/>
        <w:bidi w:val="0"/>
        <w:spacing w:lineRule="auto" w:line="259" w:before="0" w:after="160"/>
        <w:jc w:val="left"/>
        <w:rPr/>
      </w:pPr>
      <w:r>
        <w:rPr/>
        <w:t xml:space="preserve">There are too many recommendations to make a comprehensive list here. The general recommendation is to </w:t>
      </w:r>
      <w:r>
        <w:rPr>
          <w:rFonts w:eastAsia="Calibri" w:cs="Calibri"/>
          <w:color w:val="auto"/>
          <w:kern w:val="0"/>
          <w:sz w:val="22"/>
          <w:szCs w:val="22"/>
          <w:lang w:val="en-US" w:eastAsia="zh-CN" w:bidi="hi-IN"/>
        </w:rPr>
        <w:t xml:space="preserve">implement </w:t>
      </w:r>
      <w:r>
        <w:rPr/>
        <w:t>all “best practices” recommendations from ICS-Cert in the following areas.</w:t>
      </w:r>
    </w:p>
    <w:p>
      <w:pPr>
        <w:pStyle w:val="LOnormal"/>
        <w:widowControl/>
        <w:bidi w:val="0"/>
        <w:spacing w:lineRule="auto" w:line="259" w:before="0" w:after="160"/>
        <w:jc w:val="left"/>
        <w:rPr/>
      </w:pPr>
      <w:r>
        <w:rPr/>
        <w:t>Creating Cyber Forensics Plans for Control Systems</w:t>
      </w:r>
    </w:p>
    <w:p>
      <w:pPr>
        <w:pStyle w:val="LOnormal"/>
        <w:widowControl/>
        <w:bidi w:val="0"/>
        <w:spacing w:lineRule="auto" w:line="259" w:before="0" w:after="160"/>
        <w:jc w:val="left"/>
        <w:rPr/>
      </w:pPr>
      <w:r>
        <w:rPr/>
        <w:t>Developing an Industrial Control Systems Cybersecurity Incident Response Plan</w:t>
      </w:r>
    </w:p>
    <w:p>
      <w:pPr>
        <w:pStyle w:val="LOnormal"/>
        <w:widowControl/>
        <w:bidi w:val="0"/>
        <w:spacing w:lineRule="auto" w:line="259" w:before="0" w:after="160"/>
        <w:jc w:val="left"/>
        <w:rPr/>
      </w:pPr>
      <w:r>
        <w:rPr/>
        <w:t>Good Practice Guide for Firewall Deployment on SCADA and Process Control Networks</w:t>
      </w:r>
    </w:p>
    <w:p>
      <w:pPr>
        <w:pStyle w:val="LOnormal"/>
        <w:widowControl/>
        <w:bidi w:val="0"/>
        <w:spacing w:lineRule="auto" w:line="259" w:before="0" w:after="160"/>
        <w:jc w:val="left"/>
        <w:rPr/>
      </w:pPr>
      <w:r>
        <w:rPr/>
        <w:t>Improving Industrial Control Systems Cybersecurity with Defense-in-Depth Strategies</w:t>
      </w:r>
    </w:p>
    <w:p>
      <w:pPr>
        <w:pStyle w:val="LOnormal"/>
        <w:widowControl/>
        <w:bidi w:val="0"/>
        <w:spacing w:lineRule="auto" w:line="259" w:before="0" w:after="160"/>
        <w:jc w:val="left"/>
        <w:rPr/>
      </w:pPr>
      <w:r>
        <w:rPr/>
        <w:t>Patch Management for Control Systems</w:t>
      </w:r>
    </w:p>
    <w:p>
      <w:pPr>
        <w:pStyle w:val="LOnormal"/>
        <w:widowControl/>
        <w:bidi w:val="0"/>
        <w:spacing w:lineRule="auto" w:line="259" w:before="0" w:after="160"/>
        <w:jc w:val="left"/>
        <w:rPr/>
      </w:pPr>
      <w:r>
        <w:rPr/>
        <w:t>Recommended Practice Case Study:  Cross-Site Scripting</w:t>
      </w:r>
    </w:p>
    <w:p>
      <w:pPr>
        <w:pStyle w:val="LOnormal"/>
        <w:widowControl/>
        <w:bidi w:val="0"/>
        <w:spacing w:lineRule="auto" w:line="259" w:before="0" w:after="160"/>
        <w:jc w:val="left"/>
        <w:rPr/>
      </w:pPr>
      <w:r>
        <w:rPr/>
        <w:t>Remote Access for Industrial Control Systems</w:t>
      </w:r>
    </w:p>
    <w:p>
      <w:pPr>
        <w:pStyle w:val="LOnormal"/>
        <w:widowControl/>
        <w:bidi w:val="0"/>
        <w:spacing w:lineRule="auto" w:line="259" w:before="0" w:after="160"/>
        <w:jc w:val="left"/>
        <w:rPr/>
      </w:pPr>
      <w:r>
        <w:rPr/>
        <w:t>Securing Control System Modems</w:t>
      </w:r>
    </w:p>
    <w:p>
      <w:pPr>
        <w:pStyle w:val="LOnormal"/>
        <w:widowControl/>
        <w:bidi w:val="0"/>
        <w:spacing w:lineRule="auto" w:line="259" w:before="0" w:after="160"/>
        <w:jc w:val="left"/>
        <w:rPr/>
      </w:pPr>
      <w:r>
        <w:rPr/>
        <w:t>Updating Antivirus in an Industrial Control System</w:t>
      </w:r>
    </w:p>
    <w:sectPr>
      <w:headerReference w:type="default" r:id="rId4"/>
      <w:footerReference w:type="default" r:id="rId5"/>
      <w:type w:val="nextPage"/>
      <w:pgSz w:w="12240" w:h="15840"/>
      <w:pgMar w:left="1440" w:right="1440" w:header="1440" w:top="1781" w:footer="1152" w:bottom="1493"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mbr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rsid w:val="00de16f1"/>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de16f1"/>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de16f1"/>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semiHidden/>
    <w:unhideWhenUsed/>
    <w:qFormat/>
    <w:rsid w:val="00de16f1"/>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de16f1"/>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de16f1"/>
    <w:pPr>
      <w:keepNext w:val="true"/>
      <w:keepLines/>
      <w:spacing w:before="200" w:after="0"/>
      <w:outlineLvl w:val="4"/>
    </w:pPr>
    <w:rPr>
      <w:rFonts w:ascii="Calibri Light" w:hAnsi="Calibri Light" w:eastAsia="" w:cs="" w:asciiTheme="majorHAnsi" w:cstheme="majorBidi" w:eastAsiaTheme="majorEastAsia" w:hAnsiTheme="majorHAnsi"/>
      <w:color w:val="292733" w:themeColor="text2" w:themeShade="bf"/>
    </w:rPr>
  </w:style>
  <w:style w:type="paragraph" w:styleId="Heading6">
    <w:name w:val="Heading 6"/>
    <w:basedOn w:val="LOnormal"/>
    <w:next w:val="LOnormal"/>
    <w:link w:val="Heading6Char"/>
    <w:uiPriority w:val="9"/>
    <w:semiHidden/>
    <w:unhideWhenUsed/>
    <w:qFormat/>
    <w:rsid w:val="00de16f1"/>
    <w:pPr>
      <w:keepNext w:val="true"/>
      <w:keepLines/>
      <w:spacing w:before="200" w:after="0"/>
      <w:outlineLvl w:val="5"/>
    </w:pPr>
    <w:rPr>
      <w:rFonts w:ascii="Calibri Light" w:hAnsi="Calibri Light" w:eastAsia="" w:cs="" w:asciiTheme="majorHAnsi" w:cstheme="majorBidi" w:eastAsiaTheme="majorEastAsia" w:hAnsiTheme="majorHAnsi"/>
      <w:i/>
      <w:iCs/>
      <w:color w:val="292733" w:themeColor="text2" w:themeShade="bf"/>
    </w:rPr>
  </w:style>
  <w:style w:type="paragraph" w:styleId="Heading7">
    <w:name w:val="Heading 7"/>
    <w:basedOn w:val="LOnormal"/>
    <w:next w:val="LOnormal"/>
    <w:link w:val="Heading7Char"/>
    <w:uiPriority w:val="9"/>
    <w:semiHidden/>
    <w:unhideWhenUsed/>
    <w:qFormat/>
    <w:rsid w:val="00de16f1"/>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de16f1"/>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de16f1"/>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5f3f"/>
    <w:rPr/>
  </w:style>
  <w:style w:type="character" w:styleId="FooterChar" w:customStyle="1">
    <w:name w:val="Footer Char"/>
    <w:basedOn w:val="DefaultParagraphFont"/>
    <w:link w:val="Footer"/>
    <w:uiPriority w:val="99"/>
    <w:qFormat/>
    <w:rsid w:val="00ec5f3f"/>
    <w:rPr/>
  </w:style>
  <w:style w:type="character" w:styleId="TitleChar" w:customStyle="1">
    <w:name w:val="Title Char"/>
    <w:basedOn w:val="DefaultParagraphFont"/>
    <w:link w:val="Title"/>
    <w:uiPriority w:val="10"/>
    <w:qFormat/>
    <w:rsid w:val="00de16f1"/>
    <w:rPr>
      <w:rFonts w:ascii="Calibri Light" w:hAnsi="Calibri Light" w:eastAsia="" w:c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qFormat/>
    <w:rsid w:val="00de16f1"/>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de16f1"/>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de16f1"/>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de16f1"/>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de16f1"/>
    <w:rPr>
      <w:rFonts w:ascii="Calibri Light" w:hAnsi="Calibri Light" w:eastAsia="" w:cs="" w:asciiTheme="majorHAnsi" w:cstheme="majorBidi" w:eastAsiaTheme="majorEastAsia" w:hAnsiTheme="majorHAnsi"/>
      <w:color w:val="292733" w:themeColor="text2" w:themeShade="bf"/>
    </w:rPr>
  </w:style>
  <w:style w:type="character" w:styleId="Heading6Char" w:customStyle="1">
    <w:name w:val="Heading 6 Char"/>
    <w:basedOn w:val="DefaultParagraphFont"/>
    <w:link w:val="Heading6"/>
    <w:uiPriority w:val="9"/>
    <w:semiHidden/>
    <w:qFormat/>
    <w:rsid w:val="00de16f1"/>
    <w:rPr>
      <w:rFonts w:ascii="Calibri Light" w:hAnsi="Calibri Light" w:eastAsia="" w:cs="" w:asciiTheme="majorHAnsi" w:cstheme="majorBidi" w:eastAsiaTheme="majorEastAsia" w:hAnsiTheme="majorHAnsi"/>
      <w:i/>
      <w:iCs/>
      <w:color w:val="292733" w:themeColor="text2" w:themeShade="bf"/>
    </w:rPr>
  </w:style>
  <w:style w:type="character" w:styleId="Heading7Char" w:customStyle="1">
    <w:name w:val="Heading 7 Char"/>
    <w:basedOn w:val="DefaultParagraphFont"/>
    <w:link w:val="Heading7"/>
    <w:uiPriority w:val="9"/>
    <w:semiHidden/>
    <w:qFormat/>
    <w:rsid w:val="00de16f1"/>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e16f1"/>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e16f1"/>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character" w:styleId="QuoteChar" w:customStyle="1">
    <w:name w:val="Quote Char"/>
    <w:basedOn w:val="DefaultParagraphFont"/>
    <w:link w:val="Quote"/>
    <w:uiPriority w:val="29"/>
    <w:qFormat/>
    <w:rsid w:val="00de16f1"/>
    <w:rPr>
      <w:i/>
      <w:iCs/>
      <w:color w:val="000000" w:themeColor="text1"/>
    </w:rPr>
  </w:style>
  <w:style w:type="character" w:styleId="IntenseQuoteChar" w:customStyle="1">
    <w:name w:val="Intense Quote Char"/>
    <w:basedOn w:val="DefaultParagraphFont"/>
    <w:link w:val="IntenseQuote"/>
    <w:uiPriority w:val="30"/>
    <w:qFormat/>
    <w:rsid w:val="00de16f1"/>
    <w:rPr>
      <w:color w:val="000000" w:themeColor="text1"/>
      <w:shd w:fill="F2F2F2" w:val="clear"/>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false"/>
      <w:bCs w:val="false"/>
      <w:smallCaps/>
      <w:spacing w:val="5"/>
    </w:rPr>
  </w:style>
  <w:style w:type="character" w:styleId="NoSpacingChar" w:customStyle="1">
    <w:name w:val="No Spacing Char"/>
    <w:basedOn w:val="DefaultParagraphFont"/>
    <w:link w:val="NoSpacing"/>
    <w:uiPriority w:val="1"/>
    <w:qFormat/>
    <w:rsid w:val="00de16f1"/>
    <w:rPr/>
  </w:style>
  <w:style w:type="character" w:styleId="Annotationreference">
    <w:name w:val="annotation reference"/>
    <w:basedOn w:val="DefaultParagraphFont"/>
    <w:uiPriority w:val="99"/>
    <w:semiHidden/>
    <w:unhideWhenUsed/>
    <w:qFormat/>
    <w:rsid w:val="005e7cc5"/>
    <w:rPr>
      <w:sz w:val="16"/>
      <w:szCs w:val="16"/>
    </w:rPr>
  </w:style>
  <w:style w:type="character" w:styleId="CommentTextChar" w:customStyle="1">
    <w:name w:val="Comment Text Char"/>
    <w:basedOn w:val="DefaultParagraphFont"/>
    <w:link w:val="CommentText"/>
    <w:uiPriority w:val="99"/>
    <w:semiHidden/>
    <w:qFormat/>
    <w:rsid w:val="005e7cc5"/>
    <w:rPr>
      <w:sz w:val="20"/>
      <w:szCs w:val="20"/>
    </w:rPr>
  </w:style>
  <w:style w:type="character" w:styleId="CommentSubjectChar" w:customStyle="1">
    <w:name w:val="Comment Subject Char"/>
    <w:basedOn w:val="CommentTextChar"/>
    <w:link w:val="CommentSubject"/>
    <w:uiPriority w:val="99"/>
    <w:semiHidden/>
    <w:qFormat/>
    <w:rsid w:val="005e7cc5"/>
    <w:rPr>
      <w:b/>
      <w:bCs/>
      <w:sz w:val="20"/>
      <w:szCs w:val="20"/>
    </w:rPr>
  </w:style>
  <w:style w:type="character" w:styleId="BalloonTextChar" w:customStyle="1">
    <w:name w:val="Balloon Text Char"/>
    <w:basedOn w:val="DefaultParagraphFont"/>
    <w:link w:val="BalloonText"/>
    <w:uiPriority w:val="99"/>
    <w:semiHidden/>
    <w:qFormat/>
    <w:rsid w:val="005e7cc5"/>
    <w:rPr>
      <w:rFonts w:ascii="Segoe UI" w:hAnsi="Segoe UI" w:cs="Segoe UI"/>
      <w:sz w:val="18"/>
      <w:szCs w:val="18"/>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e16f1"/>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HeaderandFooter">
    <w:name w:val="Header and Footer"/>
    <w:basedOn w:val="Normal"/>
    <w:qFormat/>
    <w:pPr/>
    <w:rPr/>
  </w:style>
  <w:style w:type="paragraph" w:styleId="Header">
    <w:name w:val="Header"/>
    <w:basedOn w:val="LOnormal"/>
    <w:link w:val="HeaderChar"/>
    <w:uiPriority w:val="99"/>
    <w:unhideWhenUsed/>
    <w:rsid w:val="00ec5f3f"/>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c5f3f"/>
    <w:pPr>
      <w:tabs>
        <w:tab w:val="clear" w:pos="720"/>
        <w:tab w:val="center" w:pos="4680" w:leader="none"/>
        <w:tab w:val="right" w:pos="9360" w:leader="none"/>
      </w:tabs>
      <w:spacing w:lineRule="auto" w:line="240" w:before="0" w:after="0"/>
    </w:pPr>
    <w:rPr/>
  </w:style>
  <w:style w:type="paragraph" w:styleId="Caption1">
    <w:name w:val="caption"/>
    <w:basedOn w:val="LOnormal"/>
    <w:next w:val="LOnormal"/>
    <w:uiPriority w:val="35"/>
    <w:semiHidden/>
    <w:unhideWhenUsed/>
    <w:qFormat/>
    <w:rsid w:val="00de16f1"/>
    <w:pPr>
      <w:spacing w:lineRule="auto" w:line="240" w:before="0" w:after="200"/>
    </w:pPr>
    <w:rPr>
      <w:i/>
      <w:iCs/>
      <w:color w:val="373545" w:themeColor="text2"/>
      <w:sz w:val="18"/>
      <w:szCs w:val="18"/>
    </w:rPr>
  </w:style>
  <w:style w:type="paragraph" w:styleId="Subtitle">
    <w:name w:val="Subtitle"/>
    <w:basedOn w:val="LOnormal"/>
    <w:next w:val="LOnormal"/>
    <w:link w:val="SubtitleChar"/>
    <w:uiPriority w:val="11"/>
    <w:qFormat/>
    <w:rsid w:val="00de16f1"/>
    <w:pPr/>
    <w:rPr>
      <w:color w:val="5A5A5A"/>
    </w:rPr>
  </w:style>
  <w:style w:type="paragraph" w:styleId="NoSpacing">
    <w:name w:val="No Spacing"/>
    <w:link w:val="NoSpacingChar"/>
    <w:uiPriority w:val="1"/>
    <w:qFormat/>
    <w:rsid w:val="00de16f1"/>
    <w:pPr>
      <w:widowControl/>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de16f1"/>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de16f1"/>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LOnormal"/>
    <w:uiPriority w:val="39"/>
    <w:semiHidden/>
    <w:unhideWhenUsed/>
    <w:qFormat/>
    <w:rsid w:val="00de16f1"/>
    <w:pPr/>
    <w:rPr/>
  </w:style>
  <w:style w:type="paragraph" w:styleId="Annotationtext">
    <w:name w:val="annotation text"/>
    <w:basedOn w:val="LOnormal"/>
    <w:link w:val="CommentTextChar"/>
    <w:uiPriority w:val="99"/>
    <w:semiHidden/>
    <w:unhideWhenUsed/>
    <w:qFormat/>
    <w:rsid w:val="005e7cc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7cc5"/>
    <w:pPr/>
    <w:rPr>
      <w:b/>
      <w:bCs/>
    </w:rPr>
  </w:style>
  <w:style w:type="paragraph" w:styleId="BalloonText">
    <w:name w:val="Balloon Text"/>
    <w:basedOn w:val="LOnormal"/>
    <w:link w:val="BalloonTextChar"/>
    <w:uiPriority w:val="99"/>
    <w:semiHidden/>
    <w:unhideWhenUsed/>
    <w:qFormat/>
    <w:rsid w:val="005e7cc5"/>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Times New Roman"/>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lankSlideLTHintergrund">
    <w:name w:val="Blank Slide~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Times New Roman"/>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ackground">
    <w:name w:val="Backgro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Notes">
    <w:name w:val="Notes"/>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LTHintergrund">
    <w:name w:val="Default~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Gliederung1">
    <w:name w:val="Default 1~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1LTUntertitel">
    <w:name w:val="Default 1~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Hintergrund">
    <w:name w:val="Default 1~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Gliederung1">
    <w:name w:val="Default 2~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2LTGliederung2">
    <w:name w:val="Default 2~LT~Gliederung 2"/>
    <w:basedOn w:val="Default2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2LTUntertitel">
    <w:name w:val="Default 2~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2LTNotizen">
    <w:name w:val="Default 2~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2LTHintergrundobjekte">
    <w:name w:val="Default 2~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Hintergrund">
    <w:name w:val="Default 2~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Gliederung1">
    <w:name w:val="Default 3~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3LTGliederung2">
    <w:name w:val="Default 3~LT~Gliederung 2"/>
    <w:basedOn w:val="Default3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3LTUntertitel">
    <w:name w:val="Default 3~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3LTNotizen">
    <w:name w:val="Default 3~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3LTHintergrundobjekte">
    <w:name w:val="Default 3~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Hintergrund">
    <w:name w:val="Default 3~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Gliederung1">
    <w:name w:val="Default 4~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4LTGliederung2">
    <w:name w:val="Default 4~LT~Gliederung 2"/>
    <w:basedOn w:val="Default4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Titel">
    <w:name w:val="Default 4~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4LTUntertitel">
    <w:name w:val="Default 4~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4LTNotizen">
    <w:name w:val="Default 4~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4LTHintergrundobjekte">
    <w:name w:val="Default 4~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Hintergrund">
    <w:name w:val="Default 4~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Gliederung1">
    <w:name w:val="Default 5~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5LTGliederung2">
    <w:name w:val="Default 5~LT~Gliederung 2"/>
    <w:basedOn w:val="Default5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5LTGliederung3">
    <w:name w:val="Default 5~LT~Gliederung 3"/>
    <w:basedOn w:val="Default5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5LTGliederung4">
    <w:name w:val="Default 5~LT~Gliederung 4"/>
    <w:basedOn w:val="Default5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5">
    <w:name w:val="Default 5~LT~Gliederung 5"/>
    <w:basedOn w:val="Default5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6">
    <w:name w:val="Default 5~LT~Gliederung 6"/>
    <w:basedOn w:val="Default5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7">
    <w:name w:val="Default 5~LT~Gliederung 7"/>
    <w:basedOn w:val="Default5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8">
    <w:name w:val="Default 5~LT~Gliederung 8"/>
    <w:basedOn w:val="Default5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9">
    <w:name w:val="Default 5~LT~Gliederung 9"/>
    <w:basedOn w:val="Default5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Titel">
    <w:name w:val="Default 5~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5LTUntertitel">
    <w:name w:val="Default 5~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5LTNotizen">
    <w:name w:val="Default 5~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5LTHintergrundobjekte">
    <w:name w:val="Default 5~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Hintergrund">
    <w:name w:val="Default 5~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iXOSOc9Lp73QkuTvCC6nZNTKfjQ==">AMUW2mVyn33qGdg/TWrTiLauugu2IUjEY9tfYUNk4kcK+Ir9Sq26ODAwrRMkJKGUVLhan24lPXX3dxB8Dv72v7rcHmNziJKBiBFtlHPBosWHKtklv4GEx8FJ/tzFLQe+D12Bi0ikPuughnC+Rs5IUkXyNuPNsXhl8Q==</go:docsCustomData>
</go:gDocsCustomXmlDataStorag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984D93A8F31224EB618094100FDD2F1" ma:contentTypeVersion="3" ma:contentTypeDescription="Create a new document." ma:contentTypeScope="" ma:versionID="18023260ad8e94611a09a9737157fa53">
  <xsd:schema xmlns:xsd="http://www.w3.org/2001/XMLSchema" xmlns:xs="http://www.w3.org/2001/XMLSchema" xmlns:p="http://schemas.microsoft.com/office/2006/metadata/properties" xmlns:ns2="eb92b102-8868-4888-bc21-4ebf83b711c7" targetNamespace="http://schemas.microsoft.com/office/2006/metadata/properties" ma:root="true" ma:fieldsID="3ada3418f6006cfff7fb8ea828029cf1" ns2:_="">
    <xsd:import namespace="eb92b102-8868-4888-bc21-4ebf83b711c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b102-8868-4888-bc21-4ebf83b711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b92b102-8868-4888-bc21-4ebf83b711c7">JQKN5WCQZJFN-1334830113-656</_dlc_DocId>
    <_dlc_DocIdUrl xmlns="eb92b102-8868-4888-bc21-4ebf83b711c7">
      <Url>https://gko.portal.ng.mil/states/VA/91/126/175thCPT/_layouts/15/DocIdRedir.aspx?ID=JQKN5WCQZJFN-1334830113-656</Url>
      <Description>JQKN5WCQZJFN-1334830113-656</Description>
    </_dlc_DocIdUrl>
  </documentManagement>
</p:properties>
</file>

<file path=customXml/itemProps1.xml><?xml version="1.0" encoding="utf-8"?>
<ds:datastoreItem xmlns:ds="http://schemas.openxmlformats.org/officeDocument/2006/customXml" ds:itemID="{CA5E4C6F-A4D0-496C-A4CE-6F44D6592607}"/>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E595B4E-9503-4808-B3F6-7225475027DC}"/>
</file>

<file path=customXml/itemProps4.xml><?xml version="1.0" encoding="utf-8"?>
<ds:datastoreItem xmlns:ds="http://schemas.openxmlformats.org/officeDocument/2006/customXml" ds:itemID="{EE4CB59C-12E9-4808-9934-F82B34FFB230}"/>
</file>

<file path=customXml/itemProps5.xml><?xml version="1.0" encoding="utf-8"?>
<ds:datastoreItem xmlns:ds="http://schemas.openxmlformats.org/officeDocument/2006/customXml" ds:itemID="{0ED39767-4978-456F-ADFF-DFAC4E70D2E9}"/>
</file>

<file path=docProps/app.xml><?xml version="1.0" encoding="utf-8"?>
<Properties xmlns="http://schemas.openxmlformats.org/officeDocument/2006/extended-properties" xmlns:vt="http://schemas.openxmlformats.org/officeDocument/2006/docPropsVTypes">
  <Template/>
  <TotalTime>42</TotalTime>
  <Application>LibreOffice/6.3.2.2$Windows_X86_64 LibreOffice_project/98b30e735bda24bc04ab42594c85f7fd8be07b9c</Application>
  <Pages>8</Pages>
  <Words>1115</Words>
  <Characters>7105</Characters>
  <CharactersWithSpaces>8130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dc:description/>
  <cp:lastModifiedBy/>
  <cp:revision>9</cp:revision>
  <dcterms:created xsi:type="dcterms:W3CDTF">2019-06-05T16:38:00Z</dcterms:created>
  <dcterms:modified xsi:type="dcterms:W3CDTF">2019-10-03T16:34:04Z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0x0101004984D93A8F31224EB618094100FDD2F1</vt:lpwstr>
  </property>
  <property fmtid="{D5CDD505-2E9C-101B-9397-08002B2CF9AE}" pid="3" name="_dlc_DocIdItemGuid">
    <vt:lpwstr>592d1690-476e-4118-b553-b7fba421e7b7</vt:lpwstr>
  </property>
</Properties>
</file>