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</w:t>
      </w:r>
      <w:r>
        <w:rPr>
          <w:vertAlign w:val="superscript"/>
          <w:rtl w:val="0"/>
          <w:lang w:val="en-US"/>
        </w:rPr>
        <w:t>2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Not solvable using Master</w:t>
      </w:r>
      <w:r>
        <w:rPr>
          <w:rtl w:val="0"/>
        </w:rPr>
        <w:t>’</w:t>
      </w:r>
      <w:r>
        <w:rPr>
          <w:rtl w:val="0"/>
        </w:rPr>
        <w:t>s Theorem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Not solvable using Master</w:t>
      </w:r>
      <w:r>
        <w:rPr>
          <w:rtl w:val="0"/>
        </w:rPr>
        <w:t>’</w:t>
      </w:r>
      <w:r>
        <w:rPr>
          <w:rtl w:val="0"/>
        </w:rPr>
        <w:t>s Theorem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nlogn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</w:t>
      </w:r>
      <w:r>
        <w:rPr>
          <w:vertAlign w:val="superscript"/>
          <w:rtl w:val="0"/>
          <w:lang w:val="en-US"/>
        </w:rPr>
        <w:t>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