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kkicva3w25d8" w:id="0"/>
      <w:bookmarkEnd w:id="0"/>
      <w:r w:rsidDel="00000000" w:rsidR="00000000" w:rsidRPr="00000000">
        <w:rPr>
          <w:b w:val="1"/>
          <w:color w:val="000000"/>
          <w:sz w:val="26"/>
          <w:szCs w:val="26"/>
          <w:rtl w:val="0"/>
        </w:rPr>
        <w:t xml:space="preserve">Applications of Long Context for Large Language Models (LLMs)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3vdmjofveha" w:id="1"/>
      <w:bookmarkEnd w:id="1"/>
      <w:r w:rsidDel="00000000" w:rsidR="00000000" w:rsidRPr="00000000">
        <w:rPr>
          <w:b w:val="1"/>
          <w:color w:val="000000"/>
          <w:sz w:val="26"/>
          <w:szCs w:val="26"/>
          <w:rtl w:val="0"/>
        </w:rPr>
        <w:t xml:space="preserve">1. Legal Domain</w:t>
      </w:r>
    </w:p>
    <w:p w:rsidR="00000000" w:rsidDel="00000000" w:rsidP="00000000" w:rsidRDefault="00000000" w:rsidRPr="00000000" w14:paraId="00000003">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Traditional legal platforms like </w:t>
      </w:r>
      <w:r w:rsidDel="00000000" w:rsidR="00000000" w:rsidRPr="00000000">
        <w:rPr>
          <w:i w:val="1"/>
          <w:rtl w:val="0"/>
        </w:rPr>
        <w:t xml:space="preserve">Westlaw</w:t>
      </w:r>
      <w:r w:rsidDel="00000000" w:rsidR="00000000" w:rsidRPr="00000000">
        <w:rPr>
          <w:rtl w:val="0"/>
        </w:rPr>
        <w:t xml:space="preserve"> and </w:t>
      </w:r>
      <w:r w:rsidDel="00000000" w:rsidR="00000000" w:rsidRPr="00000000">
        <w:rPr>
          <w:i w:val="1"/>
          <w:rtl w:val="0"/>
        </w:rPr>
        <w:t xml:space="preserve">LexisNexis</w:t>
      </w:r>
      <w:r w:rsidDel="00000000" w:rsidR="00000000" w:rsidRPr="00000000">
        <w:rPr>
          <w:rtl w:val="0"/>
        </w:rPr>
        <w:t xml:space="preserve"> excel at retrieving case law or statutes, but they often provide fragmented results, requiring manual cross-referencing by lawyers. Summarization tools may omit critical clauses or legal exceptions, affecting the interpretation of contracts or precedents.</w:t>
      </w:r>
    </w:p>
    <w:p w:rsidR="00000000" w:rsidDel="00000000" w:rsidP="00000000" w:rsidRDefault="00000000" w:rsidRPr="00000000" w14:paraId="00000004">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Legal documents often span hundreds of pages and include interconnected clauses. LLMs with long-context capabilities can process entire case files and contracts, offering comprehensive legal arguments by connecting nuances across multiple documents. Specialized LLMs such as </w:t>
      </w:r>
      <w:r w:rsidDel="00000000" w:rsidR="00000000" w:rsidRPr="00000000">
        <w:rPr>
          <w:i w:val="1"/>
          <w:rtl w:val="0"/>
        </w:rPr>
        <w:t xml:space="preserve">LEXi</w:t>
      </w:r>
      <w:r w:rsidDel="00000000" w:rsidR="00000000" w:rsidRPr="00000000">
        <w:rPr>
          <w:rtl w:val="0"/>
        </w:rPr>
        <w:t xml:space="preserve"> are advancing but still struggle with handling very long legal texts cohesively.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r5hvytwmwhz" w:id="2"/>
      <w:bookmarkEnd w:id="2"/>
      <w:r w:rsidDel="00000000" w:rsidR="00000000" w:rsidRPr="00000000">
        <w:rPr>
          <w:b w:val="1"/>
          <w:color w:val="000000"/>
          <w:sz w:val="26"/>
          <w:szCs w:val="26"/>
          <w:rtl w:val="0"/>
        </w:rPr>
        <w:t xml:space="preserve">2. Financial Auditing and Reporting</w:t>
      </w:r>
    </w:p>
    <w:p w:rsidR="00000000" w:rsidDel="00000000" w:rsidP="00000000" w:rsidRDefault="00000000" w:rsidRPr="00000000" w14:paraId="00000006">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Financial software can handle isolated reports but struggles with multi-year financial records and complex audit trails. Manual intervention is often required to ensure thorough analysis.</w:t>
      </w:r>
    </w:p>
    <w:p w:rsidR="00000000" w:rsidDel="00000000" w:rsidP="00000000" w:rsidRDefault="00000000" w:rsidRPr="00000000" w14:paraId="00000007">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Financial audits demand a deep understanding of intricate relationships across years of records. A long-context LLM can process extended financial reports and cross-reference historical data, identifying anomalies and patterns with greater accuracy. Tools like </w:t>
      </w:r>
      <w:r w:rsidDel="00000000" w:rsidR="00000000" w:rsidRPr="00000000">
        <w:rPr>
          <w:i w:val="1"/>
          <w:rtl w:val="0"/>
        </w:rPr>
        <w:t xml:space="preserve">RiskLabs</w:t>
      </w:r>
      <w:r w:rsidDel="00000000" w:rsidR="00000000" w:rsidRPr="00000000">
        <w:rPr>
          <w:rtl w:val="0"/>
        </w:rPr>
        <w:t xml:space="preserve"> are attempting this but still rely on segmented document analysis, missing deeper insights from extended data​.</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1gy4hf5lfh7k" w:id="3"/>
      <w:bookmarkEnd w:id="3"/>
      <w:r w:rsidDel="00000000" w:rsidR="00000000" w:rsidRPr="00000000">
        <w:rPr>
          <w:b w:val="1"/>
          <w:color w:val="000000"/>
          <w:sz w:val="26"/>
          <w:szCs w:val="26"/>
          <w:rtl w:val="0"/>
        </w:rPr>
        <w:t xml:space="preserve">3. Scientific Research Review</w:t>
      </w:r>
    </w:p>
    <w:p w:rsidR="00000000" w:rsidDel="00000000" w:rsidP="00000000" w:rsidRDefault="00000000" w:rsidRPr="00000000" w14:paraId="00000009">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Platforms like </w:t>
      </w:r>
      <w:r w:rsidDel="00000000" w:rsidR="00000000" w:rsidRPr="00000000">
        <w:rPr>
          <w:i w:val="1"/>
          <w:rtl w:val="0"/>
        </w:rPr>
        <w:t xml:space="preserve">Google Scholar</w:t>
      </w:r>
      <w:r w:rsidDel="00000000" w:rsidR="00000000" w:rsidRPr="00000000">
        <w:rPr>
          <w:rtl w:val="0"/>
        </w:rPr>
        <w:t xml:space="preserve"> retrieve papers but don’t help in synthesizing findings across multiple studies. Researchers often have to manually read and connect data across different sources.</w:t>
      </w:r>
    </w:p>
    <w:p w:rsidR="00000000" w:rsidDel="00000000" w:rsidP="00000000" w:rsidRDefault="00000000" w:rsidRPr="00000000" w14:paraId="0000000A">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Scientific breakthroughs are often buried in extensive research papers. A long-context LLM can integrate large collections of studies and provide a cohesive synthesis, capturing intricate methodologies and data interpretations. Current LLMs, like </w:t>
      </w:r>
      <w:r w:rsidDel="00000000" w:rsidR="00000000" w:rsidRPr="00000000">
        <w:rPr>
          <w:i w:val="1"/>
          <w:rtl w:val="0"/>
        </w:rPr>
        <w:t xml:space="preserve">ChemBERT</w:t>
      </w:r>
      <w:r w:rsidDel="00000000" w:rsidR="00000000" w:rsidRPr="00000000">
        <w:rPr>
          <w:rtl w:val="0"/>
        </w:rPr>
        <w:t xml:space="preserve"> and </w:t>
      </w:r>
      <w:r w:rsidDel="00000000" w:rsidR="00000000" w:rsidRPr="00000000">
        <w:rPr>
          <w:i w:val="1"/>
          <w:rtl w:val="0"/>
        </w:rPr>
        <w:t xml:space="preserve">ProteinBERT</w:t>
      </w:r>
      <w:r w:rsidDel="00000000" w:rsidR="00000000" w:rsidRPr="00000000">
        <w:rPr>
          <w:rtl w:val="0"/>
        </w:rPr>
        <w:t xml:space="preserve">, focus on specific tasks and do not yet offer this extended review capability​.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dhgd7yqkk0y" w:id="4"/>
      <w:bookmarkEnd w:id="4"/>
      <w:r w:rsidDel="00000000" w:rsidR="00000000" w:rsidRPr="00000000">
        <w:rPr>
          <w:b w:val="1"/>
          <w:color w:val="000000"/>
          <w:sz w:val="26"/>
          <w:szCs w:val="26"/>
          <w:rtl w:val="0"/>
        </w:rPr>
        <w:t xml:space="preserve">4. Long-form Technical Documentation (e.g., Software Specs)</w:t>
      </w:r>
    </w:p>
    <w:p w:rsidR="00000000" w:rsidDel="00000000" w:rsidP="00000000" w:rsidRDefault="00000000" w:rsidRPr="00000000" w14:paraId="0000000C">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Code repositories like </w:t>
      </w:r>
      <w:r w:rsidDel="00000000" w:rsidR="00000000" w:rsidRPr="00000000">
        <w:rPr>
          <w:i w:val="1"/>
          <w:rtl w:val="0"/>
        </w:rPr>
        <w:t xml:space="preserve">GitHub</w:t>
      </w:r>
      <w:r w:rsidDel="00000000" w:rsidR="00000000" w:rsidRPr="00000000">
        <w:rPr>
          <w:rtl w:val="0"/>
        </w:rPr>
        <w:t xml:space="preserve"> provide access to individual technical documents but lack the ability to link extensive specifications across documents.</w:t>
      </w:r>
    </w:p>
    <w:p w:rsidR="00000000" w:rsidDel="00000000" w:rsidP="00000000" w:rsidRDefault="00000000" w:rsidRPr="00000000" w14:paraId="0000000D">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Technical documents often contain references and dependencies that span across hundreds of pages. A long-context LLM can track these sequences, ensuring a cohesive understanding of system behaviors and configurations without missing crucial links between sections.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06w9ibqnp8z" w:id="5"/>
      <w:bookmarkEnd w:id="5"/>
      <w:r w:rsidDel="00000000" w:rsidR="00000000" w:rsidRPr="00000000">
        <w:rPr>
          <w:b w:val="1"/>
          <w:color w:val="000000"/>
          <w:sz w:val="26"/>
          <w:szCs w:val="26"/>
          <w:rtl w:val="0"/>
        </w:rPr>
        <w:t xml:space="preserve">5. Historical and Archival Research</w:t>
      </w:r>
    </w:p>
    <w:p w:rsidR="00000000" w:rsidDel="00000000" w:rsidP="00000000" w:rsidRDefault="00000000" w:rsidRPr="00000000" w14:paraId="0000000F">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Archival tools retrieve individual documents but struggle to provide contextual insights into how historical events connect over time.</w:t>
      </w:r>
    </w:p>
    <w:p w:rsidR="00000000" w:rsidDel="00000000" w:rsidP="00000000" w:rsidRDefault="00000000" w:rsidRPr="00000000" w14:paraId="00000010">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Historians work with vast archives that cover decades or even centuries. A long-context LLM can synthesize these historical documents, helping trace the evolution of ideas and events while maintaining narrative continuity. Tools like </w:t>
      </w:r>
      <w:r w:rsidDel="00000000" w:rsidR="00000000" w:rsidRPr="00000000">
        <w:rPr>
          <w:i w:val="1"/>
          <w:rtl w:val="0"/>
        </w:rPr>
        <w:t xml:space="preserve">DocLLM</w:t>
      </w:r>
      <w:r w:rsidDel="00000000" w:rsidR="00000000" w:rsidRPr="00000000">
        <w:rPr>
          <w:rtl w:val="0"/>
        </w:rPr>
        <w:t xml:space="preserve"> show potential but are still confined to smaller sections of documents​.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881hrnflha2" w:id="6"/>
      <w:bookmarkEnd w:id="6"/>
      <w:r w:rsidDel="00000000" w:rsidR="00000000" w:rsidRPr="00000000">
        <w:rPr>
          <w:b w:val="1"/>
          <w:color w:val="000000"/>
          <w:sz w:val="26"/>
          <w:szCs w:val="26"/>
          <w:rtl w:val="0"/>
        </w:rPr>
        <w:t xml:space="preserve">6. Comprehensive Customer Support</w:t>
      </w:r>
    </w:p>
    <w:p w:rsidR="00000000" w:rsidDel="00000000" w:rsidP="00000000" w:rsidRDefault="00000000" w:rsidRPr="00000000" w14:paraId="00000012">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Chatbots are effective at addressing short-term queries but fail to integrate long-term customer history, leading to repetitive or contextually irrelevant responses.</w:t>
      </w:r>
    </w:p>
    <w:p w:rsidR="00000000" w:rsidDel="00000000" w:rsidP="00000000" w:rsidRDefault="00000000" w:rsidRPr="00000000" w14:paraId="00000013">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In industries with ongoing customer service interactions, long-context LLMs can provide personalized support by understanding the entire customer journey. Integrating multiple conversations across different channels (emails, calls, tickets) ensures that responses are relevant and contextually accurate, reducing redundancy.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e7gkq5skrqe" w:id="7"/>
      <w:bookmarkEnd w:id="7"/>
      <w:r w:rsidDel="00000000" w:rsidR="00000000" w:rsidRPr="00000000">
        <w:rPr>
          <w:b w:val="1"/>
          <w:color w:val="000000"/>
          <w:sz w:val="26"/>
          <w:szCs w:val="26"/>
          <w:rtl w:val="0"/>
        </w:rPr>
        <w:t xml:space="preserve">7. Multi-document Legal and Policy Review</w:t>
      </w:r>
    </w:p>
    <w:p w:rsidR="00000000" w:rsidDel="00000000" w:rsidP="00000000" w:rsidRDefault="00000000" w:rsidRPr="00000000" w14:paraId="00000015">
      <w:pPr>
        <w:spacing w:after="240" w:before="240" w:lineRule="auto"/>
        <w:rPr/>
      </w:pPr>
      <w:r w:rsidDel="00000000" w:rsidR="00000000" w:rsidRPr="00000000">
        <w:rPr>
          <w:b w:val="1"/>
          <w:rtl w:val="0"/>
        </w:rPr>
        <w:t xml:space="preserve">Current Tools &amp; Limitations</w:t>
      </w:r>
      <w:r w:rsidDel="00000000" w:rsidR="00000000" w:rsidRPr="00000000">
        <w:rPr>
          <w:rtl w:val="0"/>
        </w:rPr>
        <w:t xml:space="preserve">: Current systems review policies individually but fail to account for interconnectedness between large policies or regulations.</w:t>
      </w:r>
    </w:p>
    <w:p w:rsidR="00000000" w:rsidDel="00000000" w:rsidP="00000000" w:rsidRDefault="00000000" w:rsidRPr="00000000" w14:paraId="00000016">
      <w:pPr>
        <w:spacing w:after="240" w:before="240" w:lineRule="auto"/>
        <w:rPr/>
      </w:pPr>
      <w:r w:rsidDel="00000000" w:rsidR="00000000" w:rsidRPr="00000000">
        <w:rPr>
          <w:b w:val="1"/>
          <w:rtl w:val="0"/>
        </w:rPr>
        <w:t xml:space="preserve">Why Long Context Matters</w:t>
      </w:r>
      <w:r w:rsidDel="00000000" w:rsidR="00000000" w:rsidRPr="00000000">
        <w:rPr>
          <w:rtl w:val="0"/>
        </w:rPr>
        <w:t xml:space="preserve">: Complex legal or policy reviews, such as healthcare or tax reforms, require understanding how laws interact across thousands of pages. A long-context LLM can process these documents comprehensively, ensuring no critical cross-references or interdependencies are missed.</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i9f9dviosi2" w:id="8"/>
      <w:bookmarkEnd w:id="8"/>
      <w:r w:rsidDel="00000000" w:rsidR="00000000" w:rsidRPr="00000000">
        <w:rPr>
          <w:b w:val="1"/>
          <w:color w:val="000000"/>
          <w:sz w:val="26"/>
          <w:szCs w:val="26"/>
          <w:rtl w:val="0"/>
        </w:rPr>
        <w:t xml:space="preserve">References:</w:t>
      </w:r>
    </w:p>
    <w:p w:rsidR="00000000" w:rsidDel="00000000" w:rsidP="00000000" w:rsidRDefault="00000000" w:rsidRPr="00000000" w14:paraId="00000018">
      <w:pPr>
        <w:numPr>
          <w:ilvl w:val="0"/>
          <w:numId w:val="1"/>
        </w:numPr>
        <w:ind w:left="720" w:hanging="360"/>
        <w:rPr/>
      </w:pPr>
      <w:hyperlink r:id="rId6">
        <w:r w:rsidDel="00000000" w:rsidR="00000000" w:rsidRPr="00000000">
          <w:rPr>
            <w:color w:val="1155cc"/>
            <w:u w:val="single"/>
            <w:rtl w:val="0"/>
          </w:rPr>
          <w:t xml:space="preserve">https://www.enthought.com/resource/cheat-sheet-large-language-models-for-scientific-research/</w:t>
        </w:r>
      </w:hyperlink>
      <w:r w:rsidDel="00000000" w:rsidR="00000000" w:rsidRPr="00000000">
        <w:rPr>
          <w:rtl w:val="0"/>
        </w:rPr>
      </w:r>
    </w:p>
    <w:p w:rsidR="00000000" w:rsidDel="00000000" w:rsidP="00000000" w:rsidRDefault="00000000" w:rsidRPr="00000000" w14:paraId="00000019">
      <w:pPr>
        <w:numPr>
          <w:ilvl w:val="0"/>
          <w:numId w:val="1"/>
        </w:numPr>
        <w:ind w:left="720" w:hanging="360"/>
        <w:rPr/>
      </w:pPr>
      <w:hyperlink r:id="rId7">
        <w:r w:rsidDel="00000000" w:rsidR="00000000" w:rsidRPr="00000000">
          <w:rPr>
            <w:color w:val="1155cc"/>
            <w:u w:val="single"/>
            <w:rtl w:val="0"/>
          </w:rPr>
          <w:t xml:space="preserve">https://ar5iv.labs.arxiv.org/html/2401.11641v1</w:t>
        </w:r>
      </w:hyperlink>
      <w:r w:rsidDel="00000000" w:rsidR="00000000" w:rsidRPr="00000000">
        <w:rPr>
          <w:rtl w:val="0"/>
        </w:rPr>
      </w:r>
    </w:p>
    <w:p w:rsidR="00000000" w:rsidDel="00000000" w:rsidP="00000000" w:rsidRDefault="00000000" w:rsidRPr="00000000" w14:paraId="0000001A">
      <w:pPr>
        <w:numPr>
          <w:ilvl w:val="0"/>
          <w:numId w:val="1"/>
        </w:numPr>
        <w:ind w:left="720" w:hanging="360"/>
        <w:rPr/>
      </w:pPr>
      <w:hyperlink r:id="rId8">
        <w:r w:rsidDel="00000000" w:rsidR="00000000" w:rsidRPr="00000000">
          <w:rPr>
            <w:color w:val="1155cc"/>
            <w:u w:val="single"/>
            <w:rtl w:val="0"/>
          </w:rPr>
          <w:t xml:space="preserve">https://ar5iv.labs.arxiv.org/html/2401.00908</w:t>
        </w:r>
      </w:hyperlink>
      <w:r w:rsidDel="00000000" w:rsidR="00000000" w:rsidRPr="00000000">
        <w:rPr>
          <w:rtl w:val="0"/>
        </w:rPr>
      </w:r>
    </w:p>
    <w:p w:rsidR="00000000" w:rsidDel="00000000" w:rsidP="00000000" w:rsidRDefault="00000000" w:rsidRPr="00000000" w14:paraId="0000001B">
      <w:pPr>
        <w:numPr>
          <w:ilvl w:val="0"/>
          <w:numId w:val="1"/>
        </w:numPr>
        <w:ind w:left="720" w:hanging="360"/>
        <w:rPr/>
      </w:pPr>
      <w:hyperlink r:id="rId9">
        <w:r w:rsidDel="00000000" w:rsidR="00000000" w:rsidRPr="00000000">
          <w:rPr>
            <w:color w:val="1155cc"/>
            <w:u w:val="single"/>
            <w:rtl w:val="0"/>
          </w:rPr>
          <w:t xml:space="preserve">https://ar5iv.labs.arxiv.org/html/2404.07452v1</w:t>
        </w:r>
      </w:hyperlink>
      <w:r w:rsidDel="00000000" w:rsidR="00000000" w:rsidRPr="00000000">
        <w:rPr>
          <w:rtl w:val="0"/>
        </w:rPr>
      </w:r>
    </w:p>
    <w:p w:rsidR="00000000" w:rsidDel="00000000" w:rsidP="00000000" w:rsidRDefault="00000000" w:rsidRPr="00000000" w14:paraId="0000001C">
      <w:pPr>
        <w:numPr>
          <w:ilvl w:val="0"/>
          <w:numId w:val="1"/>
        </w:numPr>
        <w:ind w:left="720" w:hanging="360"/>
        <w:rPr/>
      </w:pPr>
      <w:hyperlink r:id="rId10">
        <w:r w:rsidDel="00000000" w:rsidR="00000000" w:rsidRPr="00000000">
          <w:rPr>
            <w:color w:val="1155cc"/>
            <w:u w:val="single"/>
            <w:rtl w:val="0"/>
          </w:rPr>
          <w:t xml:space="preserve">https://www.a3logics.com/blog/llm-for-legal-research/</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3logics.com/blog/llm-for-legal-research/" TargetMode="External"/><Relationship Id="rId9" Type="http://schemas.openxmlformats.org/officeDocument/2006/relationships/hyperlink" Target="https://ar5iv.labs.arxiv.org/html/2404.07452v1" TargetMode="External"/><Relationship Id="rId5" Type="http://schemas.openxmlformats.org/officeDocument/2006/relationships/styles" Target="styles.xml"/><Relationship Id="rId6" Type="http://schemas.openxmlformats.org/officeDocument/2006/relationships/hyperlink" Target="https://www.enthought.com/resource/cheat-sheet-large-language-models-for-scientific-research/" TargetMode="External"/><Relationship Id="rId7" Type="http://schemas.openxmlformats.org/officeDocument/2006/relationships/hyperlink" Target="https://ar5iv.labs.arxiv.org/html/2401.11641v1" TargetMode="External"/><Relationship Id="rId8" Type="http://schemas.openxmlformats.org/officeDocument/2006/relationships/hyperlink" Target="https://ar5iv.labs.arxiv.org/html/2401.00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