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eastAsia="Arial Unicode MS"/>
          <w:b/>
          <w:i w:val="0"/>
          <w:color w:val="000000"/>
          <w:sz w:val="56"/>
        </w:rPr>
        <w:t>PreConsult Final Presentation</w:t>
        <w:br/>
        <w:t>Speaker Guide</w:t>
      </w:r>
    </w:p>
    <w:p>
      <w:pPr>
        <w:keepNext w:val="0"/>
        <w:spacing w:after="360" w:before="0"/>
      </w:pPr>
      <w:r>
        <w:rPr>
          <w:rFonts w:ascii="Arial" w:hAnsi="Arial" w:cs="Arial" w:eastAsia="Arial Unicode MS"/>
          <w:b w:val="0"/>
          <w:i w:val="0"/>
          <w:color w:val="444444"/>
          <w:sz w:val="24"/>
        </w:rPr>
        <w:t>ELEC5623 Group 9  |  4 November 2026</w:t>
      </w:r>
    </w:p>
    <w:p>
      <w:pPr>
        <w:keepNext w:val="0"/>
        <w:spacing w:after="300" w:before="0"/>
      </w:pPr>
      <w:r>
        <w:rPr>
          <w:rFonts w:ascii="Arial" w:hAnsi="Arial" w:cs="Arial" w:eastAsia="Arial Unicode MS"/>
          <w:b w:val="0"/>
          <w:i w:val="0"/>
          <w:color w:val="000000"/>
          <w:sz w:val="23"/>
        </w:rPr>
        <w:t>Use this pack to rehearse an eight-minute presentation, including one 60-second website demonstration, followed by two minutes of group questions. Keep the fixed speaking order. Speak the English script; use the Chinese notes only for rehearsal.</w:t>
      </w:r>
    </w:p>
    <w:p>
      <w:pPr>
        <w:pStyle w:val="Heading2"/>
        <w:spacing w:before="220"/>
      </w:pPr>
      <w:r>
        <w:rPr>
          <w:rFonts w:ascii="Arial" w:hAnsi="Arial" w:cs="Arial" w:eastAsia="Arial Unicode MS"/>
          <w:b/>
          <w:i w:val="0"/>
          <w:color w:val="000000"/>
          <w:sz w:val="27"/>
        </w:rPr>
        <w:t>Speaking order and timing</w:t>
      </w:r>
    </w:p>
    <w:tbl>
      <w:tblPr>
        <w:tblW w:type="auto" w:w="0"/>
        <w:jc w:val="center"/>
        <w:tblLayout w:type="fixed"/>
        <w:tblLook w:firstColumn="1" w:firstRow="1" w:lastColumn="0" w:lastRow="0" w:noHBand="0" w:noVBand="1" w:val="04A0"/>
      </w:tblPr>
      <w:tblGrid>
        <w:gridCol w:w="2088"/>
        <w:gridCol w:w="1008"/>
        <w:gridCol w:w="936"/>
        <w:gridCol w:w="5256"/>
      </w:tblGrid>
      <w:tr>
        <w:trPr>
          <w:tblHeader/>
        </w:trPr>
        <w:tc>
          <w:tcPr>
            <w:tcW w:type="dxa" w:w="2088"/>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333333"/>
          </w:tcPr>
          <w:p>
            <w:pPr>
              <w:spacing w:after="0" w:line="276" w:lineRule="auto"/>
            </w:pPr>
            <w:r>
              <w:rPr>
                <w:rFonts w:ascii="Arial" w:hAnsi="Arial" w:cs="Arial" w:eastAsia="Arial Unicode MS"/>
                <w:b/>
                <w:i w:val="0"/>
                <w:color w:val="FFFFFF"/>
                <w:sz w:val="21"/>
              </w:rPr>
              <w:t>Presenter</w:t>
            </w:r>
          </w:p>
        </w:tc>
        <w:tc>
          <w:tcPr>
            <w:tcW w:type="dxa" w:w="1008"/>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333333"/>
          </w:tcPr>
          <w:p>
            <w:pPr>
              <w:spacing w:after="0" w:line="276" w:lineRule="auto"/>
              <w:jc w:val="center"/>
            </w:pPr>
            <w:r>
              <w:rPr>
                <w:rFonts w:ascii="Arial" w:hAnsi="Arial" w:cs="Arial" w:eastAsia="Arial Unicode MS"/>
                <w:b/>
                <w:i w:val="0"/>
                <w:color w:val="FFFFFF"/>
                <w:sz w:val="21"/>
              </w:rPr>
              <w:t>Slides</w:t>
            </w:r>
          </w:p>
        </w:tc>
        <w:tc>
          <w:tcPr>
            <w:tcW w:type="dxa" w:w="93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333333"/>
          </w:tcPr>
          <w:p>
            <w:pPr>
              <w:spacing w:after="0" w:line="276" w:lineRule="auto"/>
              <w:jc w:val="center"/>
            </w:pPr>
            <w:r>
              <w:rPr>
                <w:rFonts w:ascii="Arial" w:hAnsi="Arial" w:cs="Arial" w:eastAsia="Arial Unicode MS"/>
                <w:b/>
                <w:i w:val="0"/>
                <w:color w:val="FFFFFF"/>
                <w:sz w:val="21"/>
              </w:rPr>
              <w:t>Time</w:t>
            </w:r>
          </w:p>
        </w:tc>
        <w:tc>
          <w:tcPr>
            <w:tcW w:type="dxa" w:w="525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333333"/>
          </w:tcPr>
          <w:p>
            <w:pPr>
              <w:spacing w:after="0" w:line="276" w:lineRule="auto"/>
            </w:pPr>
            <w:r>
              <w:rPr>
                <w:rFonts w:ascii="Arial" w:hAnsi="Arial" w:cs="Arial" w:eastAsia="Arial Unicode MS"/>
                <w:b/>
                <w:i w:val="0"/>
                <w:color w:val="FFFFFF"/>
                <w:sz w:val="21"/>
              </w:rPr>
              <w:t>Speaking responsibility</w:t>
            </w:r>
          </w:p>
        </w:tc>
      </w:tr>
      <w:tr>
        <w:tc>
          <w:tcPr>
            <w:tcW w:type="dxa" w:w="2088"/>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pPr>
            <w:r>
              <w:rPr>
                <w:rFonts w:ascii="Arial" w:hAnsi="Arial" w:cs="Arial" w:eastAsia="Arial Unicode MS"/>
                <w:b w:val="0"/>
                <w:i w:val="0"/>
                <w:color w:val="000000"/>
                <w:sz w:val="21"/>
              </w:rPr>
              <w:t>Heeran Shin</w:t>
            </w:r>
          </w:p>
        </w:tc>
        <w:tc>
          <w:tcPr>
            <w:tcW w:type="dxa" w:w="1008"/>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center"/>
            </w:pPr>
            <w:r>
              <w:rPr>
                <w:rFonts w:ascii="Arial" w:hAnsi="Arial" w:cs="Arial" w:eastAsia="Arial Unicode MS"/>
                <w:b w:val="0"/>
                <w:i w:val="0"/>
                <w:color w:val="000000"/>
                <w:sz w:val="21"/>
              </w:rPr>
              <w:t>1–2</w:t>
            </w:r>
          </w:p>
        </w:tc>
        <w:tc>
          <w:tcPr>
            <w:tcW w:type="dxa" w:w="93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center"/>
            </w:pPr>
            <w:r>
              <w:rPr>
                <w:rFonts w:ascii="Arial" w:hAnsi="Arial" w:cs="Arial" w:eastAsia="Arial Unicode MS"/>
                <w:b w:val="0"/>
                <w:i w:val="0"/>
                <w:color w:val="000000"/>
                <w:sz w:val="21"/>
              </w:rPr>
              <w:t>1:30</w:t>
            </w:r>
          </w:p>
        </w:tc>
        <w:tc>
          <w:tcPr>
            <w:tcW w:type="dxa" w:w="525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pPr>
            <w:r>
              <w:rPr>
                <w:rFonts w:ascii="Arial" w:hAnsi="Arial" w:cs="Arial" w:eastAsia="Arial Unicode MS"/>
                <w:b w:val="0"/>
                <w:i w:val="0"/>
                <w:color w:val="000000"/>
                <w:sz w:val="21"/>
              </w:rPr>
              <w:t>Problem, motivation and related work</w:t>
            </w:r>
          </w:p>
        </w:tc>
      </w:tr>
      <w:tr>
        <w:tc>
          <w:tcPr>
            <w:tcW w:type="dxa" w:w="2088"/>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pPr>
            <w:r>
              <w:rPr>
                <w:rFonts w:ascii="Arial" w:hAnsi="Arial" w:cs="Arial" w:eastAsia="Arial Unicode MS"/>
                <w:b w:val="0"/>
                <w:i w:val="0"/>
                <w:color w:val="000000"/>
                <w:sz w:val="21"/>
              </w:rPr>
              <w:t>Guopeng Tan</w:t>
            </w:r>
          </w:p>
        </w:tc>
        <w:tc>
          <w:tcPr>
            <w:tcW w:type="dxa" w:w="1008"/>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center"/>
            </w:pPr>
            <w:r>
              <w:rPr>
                <w:rFonts w:ascii="Arial" w:hAnsi="Arial" w:cs="Arial" w:eastAsia="Arial Unicode MS"/>
                <w:b w:val="0"/>
                <w:i w:val="0"/>
                <w:color w:val="000000"/>
                <w:sz w:val="21"/>
              </w:rPr>
              <w:t>3–5</w:t>
            </w:r>
          </w:p>
        </w:tc>
        <w:tc>
          <w:tcPr>
            <w:tcW w:type="dxa" w:w="93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center"/>
            </w:pPr>
            <w:r>
              <w:rPr>
                <w:rFonts w:ascii="Arial" w:hAnsi="Arial" w:cs="Arial" w:eastAsia="Arial Unicode MS"/>
                <w:b w:val="0"/>
                <w:i w:val="0"/>
                <w:color w:val="000000"/>
                <w:sz w:val="21"/>
              </w:rPr>
              <w:t>1:50</w:t>
            </w:r>
          </w:p>
        </w:tc>
        <w:tc>
          <w:tcPr>
            <w:tcW w:type="dxa" w:w="525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pPr>
            <w:r>
              <w:rPr>
                <w:rFonts w:ascii="Arial" w:hAnsi="Arial" w:cs="Arial" w:eastAsia="Arial Unicode MS"/>
                <w:b w:val="0"/>
                <w:i w:val="0"/>
                <w:color w:val="000000"/>
                <w:sz w:val="21"/>
              </w:rPr>
              <w:t>Patient journey, OLD CARTS and interaction</w:t>
            </w:r>
          </w:p>
        </w:tc>
      </w:tr>
      <w:tr>
        <w:tc>
          <w:tcPr>
            <w:tcW w:type="dxa" w:w="2088"/>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pPr>
            <w:r>
              <w:rPr>
                <w:rFonts w:ascii="Arial" w:hAnsi="Arial" w:cs="Arial" w:eastAsia="Arial Unicode MS"/>
                <w:b w:val="0"/>
                <w:i w:val="0"/>
                <w:color w:val="000000"/>
                <w:sz w:val="21"/>
              </w:rPr>
              <w:t>Robin Kim</w:t>
            </w:r>
          </w:p>
        </w:tc>
        <w:tc>
          <w:tcPr>
            <w:tcW w:type="dxa" w:w="1008"/>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center"/>
            </w:pPr>
            <w:r>
              <w:rPr>
                <w:rFonts w:ascii="Arial" w:hAnsi="Arial" w:cs="Arial" w:eastAsia="Arial Unicode MS"/>
                <w:b w:val="0"/>
                <w:i w:val="0"/>
                <w:color w:val="000000"/>
                <w:sz w:val="21"/>
              </w:rPr>
              <w:t>6–7</w:t>
            </w:r>
          </w:p>
        </w:tc>
        <w:tc>
          <w:tcPr>
            <w:tcW w:type="dxa" w:w="93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center"/>
            </w:pPr>
            <w:r>
              <w:rPr>
                <w:rFonts w:ascii="Arial" w:hAnsi="Arial" w:cs="Arial" w:eastAsia="Arial Unicode MS"/>
                <w:b w:val="0"/>
                <w:i w:val="0"/>
                <w:color w:val="000000"/>
                <w:sz w:val="21"/>
              </w:rPr>
              <w:t>1:30</w:t>
            </w:r>
          </w:p>
        </w:tc>
        <w:tc>
          <w:tcPr>
            <w:tcW w:type="dxa" w:w="525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pPr>
            <w:r>
              <w:rPr>
                <w:rFonts w:ascii="Arial" w:hAnsi="Arial" w:cs="Arial" w:eastAsia="Arial Unicode MS"/>
                <w:b w:val="0"/>
                <w:i w:val="0"/>
                <w:color w:val="000000"/>
                <w:sz w:val="21"/>
              </w:rPr>
              <w:t>Architecture, AI workflow and evidence</w:t>
            </w:r>
          </w:p>
        </w:tc>
      </w:tr>
      <w:tr>
        <w:tc>
          <w:tcPr>
            <w:tcW w:type="dxa" w:w="2088"/>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pPr>
            <w:r>
              <w:rPr>
                <w:rFonts w:ascii="Arial" w:hAnsi="Arial" w:cs="Arial" w:eastAsia="Arial Unicode MS"/>
                <w:b w:val="0"/>
                <w:i w:val="0"/>
                <w:color w:val="000000"/>
                <w:sz w:val="21"/>
              </w:rPr>
              <w:t>Haobo Wang</w:t>
            </w:r>
          </w:p>
        </w:tc>
        <w:tc>
          <w:tcPr>
            <w:tcW w:type="dxa" w:w="1008"/>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center"/>
            </w:pPr>
            <w:r>
              <w:rPr>
                <w:rFonts w:ascii="Arial" w:hAnsi="Arial" w:cs="Arial" w:eastAsia="Arial Unicode MS"/>
                <w:b w:val="0"/>
                <w:i w:val="0"/>
                <w:color w:val="000000"/>
                <w:sz w:val="21"/>
              </w:rPr>
              <w:t>8–9</w:t>
            </w:r>
          </w:p>
        </w:tc>
        <w:tc>
          <w:tcPr>
            <w:tcW w:type="dxa" w:w="93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center"/>
            </w:pPr>
            <w:r>
              <w:rPr>
                <w:rFonts w:ascii="Arial" w:hAnsi="Arial" w:cs="Arial" w:eastAsia="Arial Unicode MS"/>
                <w:b w:val="0"/>
                <w:i w:val="0"/>
                <w:color w:val="000000"/>
                <w:sz w:val="21"/>
              </w:rPr>
              <w:t>1:30</w:t>
            </w:r>
          </w:p>
        </w:tc>
        <w:tc>
          <w:tcPr>
            <w:tcW w:type="dxa" w:w="525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pPr>
            <w:r>
              <w:rPr>
                <w:rFonts w:ascii="Arial" w:hAnsi="Arial" w:cs="Arial" w:eastAsia="Arial Unicode MS"/>
                <w:b w:val="0"/>
                <w:i w:val="0"/>
                <w:color w:val="000000"/>
                <w:sz w:val="21"/>
              </w:rPr>
              <w:t>Patient approval and security boundaries</w:t>
            </w:r>
          </w:p>
        </w:tc>
      </w:tr>
      <w:tr>
        <w:tc>
          <w:tcPr>
            <w:tcW w:type="dxa" w:w="2088"/>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pPr>
            <w:r>
              <w:rPr>
                <w:rFonts w:ascii="Arial" w:hAnsi="Arial" w:cs="Arial" w:eastAsia="Arial Unicode MS"/>
                <w:b w:val="0"/>
                <w:i w:val="0"/>
                <w:color w:val="000000"/>
                <w:sz w:val="21"/>
              </w:rPr>
              <w:t>Hengyu Wang</w:t>
            </w:r>
          </w:p>
        </w:tc>
        <w:tc>
          <w:tcPr>
            <w:tcW w:type="dxa" w:w="1008"/>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center"/>
            </w:pPr>
            <w:r>
              <w:rPr>
                <w:rFonts w:ascii="Arial" w:hAnsi="Arial" w:cs="Arial" w:eastAsia="Arial Unicode MS"/>
                <w:b w:val="0"/>
                <w:i w:val="0"/>
                <w:color w:val="000000"/>
                <w:sz w:val="21"/>
              </w:rPr>
              <w:t>10–12</w:t>
            </w:r>
          </w:p>
        </w:tc>
        <w:tc>
          <w:tcPr>
            <w:tcW w:type="dxa" w:w="93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center"/>
            </w:pPr>
            <w:r>
              <w:rPr>
                <w:rFonts w:ascii="Arial" w:hAnsi="Arial" w:cs="Arial" w:eastAsia="Arial Unicode MS"/>
                <w:b w:val="0"/>
                <w:i w:val="0"/>
                <w:color w:val="000000"/>
                <w:sz w:val="21"/>
              </w:rPr>
              <w:t>1:35</w:t>
            </w:r>
          </w:p>
        </w:tc>
        <w:tc>
          <w:tcPr>
            <w:tcW w:type="dxa" w:w="525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pPr>
            <w:r>
              <w:rPr>
                <w:rFonts w:ascii="Arial" w:hAnsi="Arial" w:cs="Arial" w:eastAsia="Arial Unicode MS"/>
                <w:b w:val="0"/>
                <w:i w:val="0"/>
                <w:color w:val="000000"/>
                <w:sz w:val="21"/>
              </w:rPr>
              <w:t>Test evidence, latency and conclusion</w:t>
            </w:r>
          </w:p>
        </w:tc>
      </w:tr>
    </w:tbl>
    <w:p>
      <w:pPr>
        <w:keepNext w:val="0"/>
        <w:spacing w:after="340" w:before="200"/>
      </w:pPr>
      <w:r>
        <w:rPr>
          <w:rFonts w:ascii="Arial" w:hAnsi="Arial" w:cs="Arial" w:eastAsia="Arial Unicode MS"/>
          <w:b w:val="0"/>
          <w:i w:val="0"/>
          <w:color w:val="444444"/>
          <w:sz w:val="21"/>
        </w:rPr>
        <w:t>Main presentation 7:55 including demo 1:00  ·  Transitions 0:05  ·  Q&amp;A 2:00</w:t>
      </w:r>
    </w:p>
    <w:p>
      <w:pPr>
        <w:pStyle w:val="Heading2"/>
        <w:spacing w:before="220"/>
      </w:pPr>
      <w:r>
        <w:rPr>
          <w:rFonts w:ascii="Arial" w:hAnsi="Arial" w:cs="Arial" w:eastAsia="Arial Unicode MS"/>
          <w:b/>
          <w:i w:val="0"/>
          <w:color w:val="000000"/>
          <w:sz w:val="27"/>
        </w:rPr>
        <w:t>How to rehearse</w:t>
      </w:r>
    </w:p>
    <w:p>
      <w:pPr>
        <w:keepNext w:val="0"/>
        <w:spacing w:after="160" w:before="0"/>
      </w:pPr>
      <w:r>
        <w:rPr>
          <w:rFonts w:ascii="Arial" w:hAnsi="Arial" w:cs="Arial" w:eastAsia="Arial Unicode MS"/>
          <w:b w:val="0"/>
          <w:i w:val="0"/>
          <w:color w:val="000000"/>
          <w:sz w:val="23"/>
        </w:rPr>
        <w:t>The main script contains 938 English words, including demonstration narration and handoffs. Rehearse at about 120 words per minute with a visible timer. The website segment replaces part of Guopeng’s slide explanation; it does not extend the eight-minute slot.</w:t>
      </w:r>
    </w:p>
    <w:p>
      <w:pPr>
        <w:keepNext w:val="0"/>
        <w:spacing w:after="160" w:before="0"/>
      </w:pPr>
      <w:r>
        <w:rPr>
          <w:rFonts w:ascii="Arial" w:hAnsi="Arial" w:cs="Arial" w:eastAsia="Arial Unicode MS"/>
          <w:b w:val="0"/>
          <w:i w:val="0"/>
          <w:color w:val="000000"/>
          <w:sz w:val="23"/>
        </w:rPr>
        <w:t>Use slides 1–12 for the main presentation and slides 13–16 only for questions. Switch from slide 4 to the prepared website once, then return to slide 5 after 60 seconds. If the website fails, use the captured screens for the same segment without adding time.</w:t>
      </w:r>
    </w:p>
    <w:p>
      <w:pPr>
        <w:keepNext w:val="0"/>
        <w:spacing w:after="160" w:before="140"/>
      </w:pPr>
      <w:r>
        <w:rPr>
          <w:rFonts w:ascii="Arial" w:hAnsi="Arial" w:cs="Arial" w:eastAsia="Arial Unicode MS"/>
          <w:b w:val="0"/>
          <w:i w:val="0"/>
          <w:color w:val="444444"/>
          <w:sz w:val="21"/>
        </w:rPr>
        <w:t>The responsibilities above are presentation roles. They do not replace the team’s implementation contribution record.</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一人负责翻页和计时。只在 Guopeng 部分切换网站一次；60秒到就回第5页。所有人熟悉问答和安全边界。</w:t>
      </w:r>
    </w:p>
    <w:p>
      <w:pPr>
        <w:pStyle w:val="Heading1"/>
        <w:pageBreakBefore/>
        <w:spacing w:before="0"/>
      </w:pPr>
      <w:r>
        <w:rPr>
          <w:rFonts w:ascii="Arial" w:hAnsi="Arial" w:cs="Arial" w:eastAsia="Arial Unicode MS"/>
          <w:b/>
          <w:i w:val="0"/>
          <w:color w:val="000000"/>
          <w:sz w:val="42"/>
        </w:rPr>
        <w:t>Heeran Shin</w:t>
      </w:r>
    </w:p>
    <w:p>
      <w:pPr>
        <w:keepNext w:val="0"/>
        <w:spacing w:after="280" w:before="0"/>
      </w:pPr>
      <w:r>
        <w:rPr>
          <w:rFonts w:ascii="Arial" w:hAnsi="Arial" w:cs="Arial" w:eastAsia="Arial Unicode MS"/>
          <w:b w:val="0"/>
          <w:i w:val="0"/>
          <w:color w:val="444444"/>
          <w:sz w:val="21"/>
        </w:rPr>
        <w:t>Slides 1–2  ·  1:30 presentation time  ·  178 words</w:t>
      </w:r>
    </w:p>
    <w:p>
      <w:pPr>
        <w:keepNext w:val="0"/>
        <w:spacing w:after="300" w:before="0"/>
      </w:pPr>
      <w:r>
        <w:rPr>
          <w:rFonts w:ascii="Arial" w:hAnsi="Arial" w:cs="Arial" w:eastAsia="Arial Unicode MS"/>
          <w:b w:val="0"/>
          <w:i w:val="0"/>
          <w:color w:val="333333"/>
          <w:sz w:val="22"/>
        </w:rPr>
        <w:t>Explain the patient problem and position the project beside existing preparation and symptom-assessment approaches.</w:t>
      </w:r>
    </w:p>
    <w:p>
      <w:pPr>
        <w:pStyle w:val="Heading2"/>
        <w:spacing w:before="220"/>
      </w:pPr>
      <w:r>
        <w:rPr>
          <w:rFonts w:ascii="Arial" w:hAnsi="Arial" w:cs="Arial" w:eastAsia="Arial Unicode MS"/>
          <w:b/>
          <w:i w:val="0"/>
          <w:color w:val="000000"/>
          <w:sz w:val="27"/>
        </w:rPr>
        <w:t>Slide 1  PreConsult and the problem we address</w:t>
      </w:r>
    </w:p>
    <w:p>
      <w:pPr>
        <w:keepNext w:val="0"/>
        <w:spacing w:after="140" w:before="0"/>
      </w:pPr>
      <w:r>
        <w:rPr>
          <w:rFonts w:ascii="Arial" w:hAnsi="Arial" w:cs="Arial" w:eastAsia="Arial Unicode MS"/>
          <w:b w:val="0"/>
          <w:i w:val="0"/>
          <w:color w:val="555555"/>
          <w:sz w:val="20"/>
        </w:rPr>
        <w:t>20 seconds</w:t>
      </w:r>
    </w:p>
    <w:p>
      <w:pPr>
        <w:keepNext w:val="0"/>
        <w:spacing w:after="180" w:before="0"/>
      </w:pPr>
      <w:r>
        <w:rPr>
          <w:rFonts w:ascii="Arial" w:hAnsi="Arial" w:cs="Arial" w:eastAsia="Arial Unicode MS"/>
          <w:b w:val="0"/>
          <w:i w:val="0"/>
          <w:color w:val="000000"/>
          <w:sz w:val="23"/>
        </w:rPr>
        <w:t>Hello, we are Group 9. PreConsult helps patients prepare for a planned GP visit. It turns their account into an organised record they can inspect, correct and approve for a chosen doctor.</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先介绍计划性就诊准备与患者批准，不介绍成自动诊断系统。</w:t>
      </w:r>
    </w:p>
    <w:p>
      <w:pPr>
        <w:pStyle w:val="Heading2"/>
        <w:spacing w:before="220"/>
      </w:pPr>
      <w:r>
        <w:rPr>
          <w:rFonts w:ascii="Arial" w:hAnsi="Arial" w:cs="Arial" w:eastAsia="Arial Unicode MS"/>
          <w:b/>
          <w:i w:val="0"/>
          <w:color w:val="000000"/>
          <w:sz w:val="27"/>
        </w:rPr>
        <w:t>Slide 2  Motivation and the gap we address</w:t>
      </w:r>
    </w:p>
    <w:p>
      <w:pPr>
        <w:keepNext w:val="0"/>
        <w:spacing w:after="140" w:before="0"/>
      </w:pPr>
      <w:r>
        <w:rPr>
          <w:rFonts w:ascii="Arial" w:hAnsi="Arial" w:cs="Arial" w:eastAsia="Arial Unicode MS"/>
          <w:b w:val="0"/>
          <w:i w:val="0"/>
          <w:color w:val="555555"/>
          <w:sz w:val="20"/>
        </w:rPr>
        <w:t>70 seconds</w:t>
      </w:r>
    </w:p>
    <w:p>
      <w:pPr>
        <w:keepNext w:val="0"/>
        <w:spacing w:after="180" w:before="0"/>
      </w:pPr>
      <w:r>
        <w:rPr>
          <w:rFonts w:ascii="Arial" w:hAnsi="Arial" w:cs="Arial" w:eastAsia="Arial Unicode MS"/>
          <w:b w:val="0"/>
          <w:i w:val="0"/>
          <w:color w:val="000000"/>
          <w:sz w:val="23"/>
        </w:rPr>
        <w:t>Patients may remember that something hurts but struggle to explain when it began, what changed, or which medicine they take. AHRQ's preparation materials help people organise reasons, concerns, questions and goals before a visit. Ada asks symptom questions and reports possible causes. Our design focuses on the handoff between a patient's own account and an approved consultation record. A flexible language model can interpret an everyday sentence such as ‘stairs make it worse’. The application still needs explicit rules for evidence, unanswered questions and sharing. We combine that flexibility with a guided workflow and a backend that checks model proposals. Patients can remain unsure, skip a question or correct a detail. Our contribution is this working integration and its testable boundaries. We have engineering evidence for the workflow, while clinical benefit and usability with real patients remain to be evaluated.</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从表达困难切入；相关工作只比较实际定位。强调自由语言理解与确定性约束的结合，不声称市场唯一，不说任何竞品没有隐私保护。</w:t>
      </w:r>
    </w:p>
    <w:p>
      <w:pPr>
        <w:spacing w:after="120"/>
      </w:pPr>
      <w:r>
        <w:rPr>
          <w:rFonts w:ascii="Arial" w:hAnsi="Arial" w:cs="Arial" w:eastAsia="Arial Unicode MS"/>
          <w:b/>
          <w:i w:val="0"/>
          <w:color w:val="000000"/>
          <w:sz w:val="21"/>
        </w:rPr>
        <w:t>Handoff  Guopeng will show the patient journey.</w:t>
      </w:r>
    </w:p>
    <w:p>
      <w:pPr>
        <w:pStyle w:val="Heading1"/>
        <w:pageBreakBefore/>
        <w:spacing w:before="0"/>
      </w:pPr>
      <w:r>
        <w:rPr>
          <w:rFonts w:ascii="Arial" w:hAnsi="Arial" w:cs="Arial" w:eastAsia="Arial Unicode MS"/>
          <w:b/>
          <w:i w:val="0"/>
          <w:color w:val="000000"/>
          <w:sz w:val="42"/>
        </w:rPr>
        <w:t>Guopeng Tan</w:t>
      </w:r>
    </w:p>
    <w:p>
      <w:pPr>
        <w:keepNext w:val="0"/>
        <w:spacing w:after="280" w:before="0"/>
      </w:pPr>
      <w:r>
        <w:rPr>
          <w:rFonts w:ascii="Arial" w:hAnsi="Arial" w:cs="Arial" w:eastAsia="Arial Unicode MS"/>
          <w:b w:val="0"/>
          <w:i w:val="0"/>
          <w:color w:val="444444"/>
          <w:sz w:val="21"/>
        </w:rPr>
        <w:t>Slides 3–5  ·  1:50 including the 60-second demo  ·  189 words</w:t>
      </w:r>
    </w:p>
    <w:p>
      <w:pPr>
        <w:keepNext w:val="0"/>
        <w:spacing w:after="300" w:before="0"/>
      </w:pPr>
      <w:r>
        <w:rPr>
          <w:rFonts w:ascii="Arial" w:hAnsi="Arial" w:cs="Arial" w:eastAsia="Arial Unicode MS"/>
          <w:b w:val="0"/>
          <w:i w:val="0"/>
          <w:color w:val="333333"/>
          <w:sz w:val="22"/>
        </w:rPr>
        <w:t>Demonstrate the saved synthetic patient journey and explain OLD CARTS using one relevant example. The website segment occupies 60 seconds of this 110-second slot.</w:t>
      </w:r>
    </w:p>
    <w:p>
      <w:pPr>
        <w:pStyle w:val="Heading2"/>
        <w:spacing w:before="220"/>
      </w:pPr>
      <w:r>
        <w:rPr>
          <w:rFonts w:ascii="Arial" w:hAnsi="Arial" w:cs="Arial" w:eastAsia="Arial Unicode MS"/>
          <w:b/>
          <w:i w:val="0"/>
          <w:color w:val="000000"/>
          <w:sz w:val="27"/>
        </w:rPr>
        <w:t>Slide 3  A guided patient journey</w:t>
      </w:r>
    </w:p>
    <w:p>
      <w:pPr>
        <w:keepNext w:val="0"/>
        <w:spacing w:after="140" w:before="0"/>
      </w:pPr>
      <w:r>
        <w:rPr>
          <w:rFonts w:ascii="Arial" w:hAnsi="Arial" w:cs="Arial" w:eastAsia="Arial Unicode MS"/>
          <w:b w:val="0"/>
          <w:i w:val="0"/>
          <w:color w:val="555555"/>
          <w:sz w:val="20"/>
        </w:rPr>
        <w:t>25 seconds</w:t>
      </w:r>
    </w:p>
    <w:p>
      <w:pPr>
        <w:keepNext w:val="0"/>
        <w:spacing w:after="180" w:before="0"/>
      </w:pPr>
      <w:r>
        <w:rPr>
          <w:rFonts w:ascii="Arial" w:hAnsi="Arial" w:cs="Arial" w:eastAsia="Arial Unicode MS"/>
          <w:b w:val="0"/>
          <w:i w:val="0"/>
          <w:color w:val="000000"/>
          <w:sz w:val="23"/>
        </w:rPr>
        <w:t>Patients choose one of thirty topics or describe a concern in their own words. The wizard presents one question at a time, then a small set of AI follow-ups. They review the record before sharing. We will use Alex, a fictional patient with knee pain, to show a few prepared steps.</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25秒讲流程，避免把整次问诊重新填一遍。说明 Alex 是合成病例；下一页开始60秒现场演示。</w:t>
      </w:r>
    </w:p>
    <w:p>
      <w:pPr>
        <w:pStyle w:val="Heading2"/>
        <w:spacing w:before="220"/>
      </w:pPr>
      <w:r>
        <w:rPr>
          <w:rFonts w:ascii="Arial" w:hAnsi="Arial" w:cs="Arial" w:eastAsia="Arial Unicode MS"/>
          <w:b/>
          <w:i w:val="0"/>
          <w:color w:val="000000"/>
          <w:sz w:val="27"/>
        </w:rPr>
        <w:t>Slide 4  Organising symptom history with OLD CARTS</w:t>
      </w:r>
    </w:p>
    <w:p>
      <w:pPr>
        <w:keepNext w:val="0"/>
        <w:spacing w:after="140" w:before="0"/>
      </w:pPr>
      <w:r>
        <w:rPr>
          <w:rFonts w:ascii="Arial" w:hAnsi="Arial" w:cs="Arial" w:eastAsia="Arial Unicode MS"/>
          <w:b w:val="0"/>
          <w:i w:val="0"/>
          <w:color w:val="555555"/>
          <w:sz w:val="20"/>
        </w:rPr>
        <w:t>65 seconds including 60-second website demonstration</w:t>
      </w:r>
    </w:p>
    <w:p>
      <w:pPr>
        <w:keepNext w:val="0"/>
        <w:spacing w:after="180" w:before="0"/>
      </w:pPr>
      <w:r>
        <w:rPr>
          <w:rFonts w:ascii="Arial" w:hAnsi="Arial" w:cs="Arial" w:eastAsia="Arial Unicode MS"/>
          <w:b w:val="0"/>
          <w:i w:val="0"/>
          <w:color w:val="000000"/>
          <w:sz w:val="23"/>
        </w:rPr>
        <w:t>Here is Alex's saved preparation. Both knees are selected, with the right worse. OLD CARTS organises the relevant symptom details in everyday language. Here, R means relieving factors, and spread is separate. In this answer, Alex says stairs make the pain worse. We can inspect the supporting words and correct the record. An unknown answer stays unknown. At the final review, sharing needs a selected registered doctor and Alex's explicit approval. This demonstration shows the saved workflow. Its prepared AI content is a controlled fixture, not a fresh quality evaluation.</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本页先切网站，按60秒时间表展示身体部位、证据、批准边界。不要点击真实分享或等待模型。最后5秒切回第5页。OLD CARTS适用才问，不能作为临床完整度评分。</w:t>
      </w:r>
    </w:p>
    <w:p>
      <w:pPr>
        <w:spacing w:after="120"/>
      </w:pPr>
      <w:r>
        <w:rPr>
          <w:rFonts w:ascii="Arial" w:hAnsi="Arial" w:cs="Arial" w:eastAsia="Arial Unicode MS"/>
          <w:b/>
          <w:i w:val="0"/>
          <w:color w:val="000000"/>
          <w:sz w:val="21"/>
        </w:rPr>
        <w:t>Return to slides  Back to the slides for the interaction details.</w:t>
      </w:r>
    </w:p>
    <w:p>
      <w:pPr>
        <w:pStyle w:val="Heading2"/>
        <w:spacing w:before="220"/>
      </w:pPr>
      <w:r>
        <w:rPr>
          <w:rFonts w:ascii="Arial" w:hAnsi="Arial" w:cs="Arial" w:eastAsia="Arial Unicode MS"/>
          <w:b/>
          <w:i w:val="0"/>
          <w:color w:val="000000"/>
          <w:sz w:val="27"/>
        </w:rPr>
        <w:t>Slide 5  Less effort to explain the concern</w:t>
      </w:r>
    </w:p>
    <w:p>
      <w:pPr>
        <w:keepNext w:val="0"/>
        <w:spacing w:after="140" w:before="0"/>
      </w:pPr>
      <w:r>
        <w:rPr>
          <w:rFonts w:ascii="Arial" w:hAnsi="Arial" w:cs="Arial" w:eastAsia="Arial Unicode MS"/>
          <w:b w:val="0"/>
          <w:i w:val="0"/>
          <w:color w:val="555555"/>
          <w:sz w:val="20"/>
        </w:rPr>
        <w:t>20 seconds</w:t>
      </w:r>
    </w:p>
    <w:p>
      <w:pPr>
        <w:keepNext w:val="0"/>
        <w:spacing w:after="180" w:before="0"/>
      </w:pPr>
      <w:r>
        <w:rPr>
          <w:rFonts w:ascii="Arial" w:hAnsi="Arial" w:cs="Arial" w:eastAsia="Arial Unicode MS"/>
          <w:b w:val="0"/>
          <w:i w:val="0"/>
          <w:color w:val="000000"/>
          <w:sz w:val="23"/>
        </w:rPr>
        <w:t>Voice transcription fills the editable answer after Stop. Stable background can be reused, while medicines and allergies need a fresh check. Five patient languages make the same workflow accessible without adding another form.</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20秒即可，不再重复演示。五种语言已在PPT列出，不必全部朗读。药物和过敏是需确认的历史提示，不是永久当前事实。</w:t>
      </w:r>
    </w:p>
    <w:p>
      <w:pPr>
        <w:spacing w:after="120"/>
      </w:pPr>
      <w:r>
        <w:rPr>
          <w:rFonts w:ascii="Arial" w:hAnsi="Arial" w:cs="Arial" w:eastAsia="Arial Unicode MS"/>
          <w:b/>
          <w:i w:val="0"/>
          <w:color w:val="000000"/>
          <w:sz w:val="21"/>
        </w:rPr>
        <w:t>Handoff  Robin will explain the controls behind it.</w:t>
      </w:r>
    </w:p>
    <w:p>
      <w:pPr>
        <w:pStyle w:val="Heading1"/>
        <w:pageBreakBefore/>
        <w:spacing w:before="0"/>
      </w:pPr>
      <w:r>
        <w:rPr>
          <w:rFonts w:ascii="Arial" w:hAnsi="Arial" w:cs="Arial" w:eastAsia="Arial Unicode MS"/>
          <w:b/>
          <w:i w:val="0"/>
          <w:color w:val="000000"/>
          <w:sz w:val="42"/>
        </w:rPr>
        <w:t>Robin Kim</w:t>
      </w:r>
    </w:p>
    <w:p>
      <w:pPr>
        <w:keepNext w:val="0"/>
        <w:spacing w:after="280" w:before="0"/>
      </w:pPr>
      <w:r>
        <w:rPr>
          <w:rFonts w:ascii="Arial" w:hAnsi="Arial" w:cs="Arial" w:eastAsia="Arial Unicode MS"/>
          <w:b w:val="0"/>
          <w:i w:val="0"/>
          <w:color w:val="444444"/>
          <w:sz w:val="21"/>
        </w:rPr>
        <w:t>Slides 6–7  ·  1:30 presentation time  ·  179 words</w:t>
      </w:r>
    </w:p>
    <w:p>
      <w:pPr>
        <w:keepNext w:val="0"/>
        <w:spacing w:after="300" w:before="0"/>
      </w:pPr>
      <w:r>
        <w:rPr>
          <w:rFonts w:ascii="Arial" w:hAnsi="Arial" w:cs="Arial" w:eastAsia="Arial Unicode MS"/>
          <w:b w:val="0"/>
          <w:i w:val="0"/>
          <w:color w:val="333333"/>
          <w:sz w:val="22"/>
        </w:rPr>
        <w:t>Explain the boundary between model proposals and deterministic application decisions, then describe evidence and correction.</w:t>
      </w:r>
    </w:p>
    <w:p>
      <w:pPr>
        <w:pStyle w:val="Heading2"/>
        <w:spacing w:before="220"/>
      </w:pPr>
      <w:r>
        <w:rPr>
          <w:rFonts w:ascii="Arial" w:hAnsi="Arial" w:cs="Arial" w:eastAsia="Arial Unicode MS"/>
          <w:b/>
          <w:i w:val="0"/>
          <w:color w:val="000000"/>
          <w:sz w:val="27"/>
        </w:rPr>
        <w:t>Slide 6  AI candidates and server decisions</w:t>
      </w:r>
    </w:p>
    <w:p>
      <w:pPr>
        <w:keepNext w:val="0"/>
        <w:spacing w:after="140" w:before="0"/>
      </w:pPr>
      <w:r>
        <w:rPr>
          <w:rFonts w:ascii="Arial" w:hAnsi="Arial" w:cs="Arial" w:eastAsia="Arial Unicode MS"/>
          <w:b w:val="0"/>
          <w:i w:val="0"/>
          <w:color w:val="555555"/>
          <w:sz w:val="20"/>
        </w:rPr>
        <w:t>45 seconds</w:t>
      </w:r>
    </w:p>
    <w:p>
      <w:pPr>
        <w:keepNext w:val="0"/>
        <w:spacing w:after="180" w:before="0"/>
      </w:pPr>
      <w:r>
        <w:rPr>
          <w:rFonts w:ascii="Arial" w:hAnsi="Arial" w:cs="Arial" w:eastAsia="Arial Unicode MS"/>
          <w:b w:val="0"/>
          <w:i w:val="0"/>
          <w:color w:val="000000"/>
          <w:sz w:val="23"/>
        </w:rPr>
        <w:t>React presents the wizard, while FastAPI owns authentication, workflow state and SQLite persistence. The model performs bounded jobs. Extraction proposes field values with exact evidence spans. The server accepts supported candidates into the draft record. Planning can select only eligible missing details, normally in one batch of at most five questions. Synthesis produces a readable record with registered source references. Each operation has a schema and validation. This division lets us test state changes and stopping rules independently of model wording. The model has no shell or patient-search tool.</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提取候选通过后端验证后可自动写入草稿；不要说每次写入都需要患者手动确认。患者明确批准的是分享版本。分清提取、追问、摘要三种有界任务。</w:t>
      </w:r>
    </w:p>
    <w:p>
      <w:pPr>
        <w:pStyle w:val="Heading2"/>
        <w:spacing w:before="220"/>
      </w:pPr>
      <w:r>
        <w:rPr>
          <w:rFonts w:ascii="Arial" w:hAnsi="Arial" w:cs="Arial" w:eastAsia="Arial Unicode MS"/>
          <w:b/>
          <w:i w:val="0"/>
          <w:color w:val="000000"/>
          <w:sz w:val="27"/>
        </w:rPr>
        <w:t>Slide 7  Traceable facts and correctable answers</w:t>
      </w:r>
    </w:p>
    <w:p>
      <w:pPr>
        <w:keepNext w:val="0"/>
        <w:spacing w:after="140" w:before="0"/>
      </w:pPr>
      <w:r>
        <w:rPr>
          <w:rFonts w:ascii="Arial" w:hAnsi="Arial" w:cs="Arial" w:eastAsia="Arial Unicode MS"/>
          <w:b w:val="0"/>
          <w:i w:val="0"/>
          <w:color w:val="555555"/>
          <w:sz w:val="20"/>
        </w:rPr>
        <w:t>45 seconds</w:t>
      </w:r>
    </w:p>
    <w:p>
      <w:pPr>
        <w:keepNext w:val="0"/>
        <w:spacing w:after="180" w:before="0"/>
      </w:pPr>
      <w:r>
        <w:rPr>
          <w:rFonts w:ascii="Arial" w:hAnsi="Arial" w:cs="Arial" w:eastAsia="Arial Unicode MS"/>
          <w:b w:val="0"/>
          <w:i w:val="0"/>
          <w:color w:val="000000"/>
          <w:sz w:val="23"/>
        </w:rPr>
        <w:t>Here, ‘stairs make it worse’ links back to Alex's recorded words. Each fact keeps a source and status. Corrections retain history, while unresolved contradictions stay uncertain. Summary checks reject missing sources, unsupported numbers and certain losses of uncertainty. Coverage records supplied facts. Resolution also includes an uncertain or declined answer, so the interview need not repeat it. These checks make failures inspectable, but a valid source reference does not prove a faithful paraphrase or medical truth. The patient still reviews the result.</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结合来源弹窗讲“上楼加重”。Coverage记录已提供的事实，resolution还包括未知或拒绝回答，避免反复追问。引用存在不证明语义或医学正确。</w:t>
      </w:r>
    </w:p>
    <w:p>
      <w:pPr>
        <w:spacing w:after="120"/>
      </w:pPr>
      <w:r>
        <w:rPr>
          <w:rFonts w:ascii="Arial" w:hAnsi="Arial" w:cs="Arial" w:eastAsia="Arial Unicode MS"/>
          <w:b/>
          <w:i w:val="0"/>
          <w:color w:val="000000"/>
          <w:sz w:val="21"/>
        </w:rPr>
        <w:t>Handoff  Haobo will explain how approval controls the handoff.</w:t>
      </w:r>
    </w:p>
    <w:p>
      <w:pPr>
        <w:pStyle w:val="Heading1"/>
        <w:pageBreakBefore/>
        <w:spacing w:before="0"/>
      </w:pPr>
      <w:r>
        <w:rPr>
          <w:rFonts w:ascii="Arial" w:hAnsi="Arial" w:cs="Arial" w:eastAsia="Arial Unicode MS"/>
          <w:b/>
          <w:i w:val="0"/>
          <w:color w:val="000000"/>
          <w:sz w:val="42"/>
        </w:rPr>
        <w:t>Haobo Wang</w:t>
      </w:r>
    </w:p>
    <w:p>
      <w:pPr>
        <w:keepNext w:val="0"/>
        <w:spacing w:after="280" w:before="0"/>
      </w:pPr>
      <w:r>
        <w:rPr>
          <w:rFonts w:ascii="Arial" w:hAnsi="Arial" w:cs="Arial" w:eastAsia="Arial Unicode MS"/>
          <w:b w:val="0"/>
          <w:i w:val="0"/>
          <w:color w:val="444444"/>
          <w:sz w:val="21"/>
        </w:rPr>
        <w:t>Slides 8–9  ·  1:30 presentation time  ·  185 words</w:t>
      </w:r>
    </w:p>
    <w:p>
      <w:pPr>
        <w:keepNext w:val="0"/>
        <w:spacing w:after="300" w:before="0"/>
      </w:pPr>
      <w:r>
        <w:rPr>
          <w:rFonts w:ascii="Arial" w:hAnsi="Arial" w:cs="Arial" w:eastAsia="Arial Unicode MS"/>
          <w:b w:val="0"/>
          <w:i w:val="0"/>
          <w:color w:val="333333"/>
          <w:sz w:val="22"/>
        </w:rPr>
        <w:t>Show the controlled handoff and explain what the security tests do and do not establish.</w:t>
      </w:r>
    </w:p>
    <w:p>
      <w:pPr>
        <w:pStyle w:val="Heading2"/>
        <w:spacing w:before="220"/>
      </w:pPr>
      <w:r>
        <w:rPr>
          <w:rFonts w:ascii="Arial" w:hAnsi="Arial" w:cs="Arial" w:eastAsia="Arial Unicode MS"/>
          <w:b/>
          <w:i w:val="0"/>
          <w:color w:val="000000"/>
          <w:sz w:val="27"/>
        </w:rPr>
        <w:t>Slide 8  Approval belongs to a specific version</w:t>
      </w:r>
    </w:p>
    <w:p>
      <w:pPr>
        <w:keepNext w:val="0"/>
        <w:spacing w:after="140" w:before="0"/>
      </w:pPr>
      <w:r>
        <w:rPr>
          <w:rFonts w:ascii="Arial" w:hAnsi="Arial" w:cs="Arial" w:eastAsia="Arial Unicode MS"/>
          <w:b w:val="0"/>
          <w:i w:val="0"/>
          <w:color w:val="555555"/>
          <w:sz w:val="20"/>
        </w:rPr>
        <w:t>40 seconds</w:t>
      </w:r>
    </w:p>
    <w:p>
      <w:pPr>
        <w:keepNext w:val="0"/>
        <w:spacing w:after="180" w:before="0"/>
      </w:pPr>
      <w:r>
        <w:rPr>
          <w:rFonts w:ascii="Arial" w:hAnsi="Arial" w:cs="Arial" w:eastAsia="Arial Unicode MS"/>
          <w:b w:val="0"/>
          <w:i w:val="0"/>
          <w:color w:val="000000"/>
          <w:sz w:val="23"/>
        </w:rPr>
        <w:t>The patient reviews a specific summary version, chooses a registered doctor, and approves sharing. The system keeps that approval tied to the version the patient saw. A private draft does not enter the doctor's queue. The clinician sees the approved facts and permitted attachments, with the preliminary assessment labelled separately. To correct a shared intake, the patient withdraws sharing and reviews the revised version before sharing again. Withdrawal blocks future application access, but cannot recall a copy already downloaded.</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指出批准绑定具体版本；共享后的修改需撤回再审阅再分享。只验证邮箱所有权，并非医生执业资质。撤回不能远程抹去已下载副本。</w:t>
      </w:r>
    </w:p>
    <w:p>
      <w:pPr>
        <w:pStyle w:val="Heading2"/>
        <w:spacing w:before="220"/>
      </w:pPr>
      <w:r>
        <w:rPr>
          <w:rFonts w:ascii="Arial" w:hAnsi="Arial" w:cs="Arial" w:eastAsia="Arial Unicode MS"/>
          <w:b/>
          <w:i w:val="0"/>
          <w:color w:val="000000"/>
          <w:sz w:val="27"/>
        </w:rPr>
        <w:t>Slide 9  Security boundaries under attack</w:t>
      </w:r>
    </w:p>
    <w:p>
      <w:pPr>
        <w:keepNext w:val="0"/>
        <w:spacing w:after="140" w:before="0"/>
      </w:pPr>
      <w:r>
        <w:rPr>
          <w:rFonts w:ascii="Arial" w:hAnsi="Arial" w:cs="Arial" w:eastAsia="Arial Unicode MS"/>
          <w:b w:val="0"/>
          <w:i w:val="0"/>
          <w:color w:val="555555"/>
          <w:sz w:val="20"/>
        </w:rPr>
        <w:t>50 seconds</w:t>
      </w:r>
    </w:p>
    <w:p>
      <w:pPr>
        <w:keepNext w:val="0"/>
        <w:spacing w:after="180" w:before="0"/>
      </w:pPr>
      <w:r>
        <w:rPr>
          <w:rFonts w:ascii="Arial" w:hAnsi="Arial" w:cs="Arial" w:eastAsia="Arial Unicode MS"/>
          <w:b w:val="0"/>
          <w:i w:val="0"/>
          <w:color w:val="000000"/>
          <w:sz w:val="23"/>
        </w:rPr>
        <w:t>We tested requests such as deleting the system and obtaining another patient's information. The model has no operating-system execution capability. Authenticated backend routes enforce ownership and doctor permissions. Tests cover different patients, unassigned doctors, attachments and revoked sharing. We also submitted two malicious narratives to the live extraction model, in English and Chinese. It retained supported knee-symptom facts while the configured patient owner stayed unchanged. That separate model check had no connected database. Together, the tests check concrete boundaries. They do not establish that every prompt injection will fail or that the system is ready for clinical use.</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API越权测试与两条真实模型提取样例分开说。权限边界靠后端，而不是只靠提示词；不承诺永远无法攻破。</w:t>
      </w:r>
    </w:p>
    <w:p>
      <w:pPr>
        <w:spacing w:after="120"/>
      </w:pPr>
      <w:r>
        <w:rPr>
          <w:rFonts w:ascii="Arial" w:hAnsi="Arial" w:cs="Arial" w:eastAsia="Arial Unicode MS"/>
          <w:b/>
          <w:i w:val="0"/>
          <w:color w:val="000000"/>
          <w:sz w:val="21"/>
        </w:rPr>
        <w:t>Handoff  Hengyu will explain the evidence and its limits.</w:t>
      </w:r>
    </w:p>
    <w:p>
      <w:pPr>
        <w:pStyle w:val="Heading1"/>
        <w:pageBreakBefore/>
        <w:spacing w:before="0"/>
      </w:pPr>
      <w:r>
        <w:rPr>
          <w:rFonts w:ascii="Arial" w:hAnsi="Arial" w:cs="Arial" w:eastAsia="Arial Unicode MS"/>
          <w:b/>
          <w:i w:val="0"/>
          <w:color w:val="000000"/>
          <w:sz w:val="42"/>
        </w:rPr>
        <w:t>Hengyu Wang</w:t>
      </w:r>
    </w:p>
    <w:p>
      <w:pPr>
        <w:keepNext w:val="0"/>
        <w:spacing w:after="280" w:before="0"/>
      </w:pPr>
      <w:r>
        <w:rPr>
          <w:rFonts w:ascii="Arial" w:hAnsi="Arial" w:cs="Arial" w:eastAsia="Arial Unicode MS"/>
          <w:b w:val="0"/>
          <w:i w:val="0"/>
          <w:color w:val="444444"/>
          <w:sz w:val="21"/>
        </w:rPr>
        <w:t>Slides 10–12  ·  1:35 presentation time  ·  207 words</w:t>
      </w:r>
    </w:p>
    <w:p>
      <w:pPr>
        <w:keepNext w:val="0"/>
        <w:spacing w:after="300" w:before="0"/>
      </w:pPr>
      <w:r>
        <w:rPr>
          <w:rFonts w:ascii="Arial" w:hAnsi="Arial" w:cs="Arial" w:eastAsia="Arial Unicode MS"/>
          <w:b w:val="0"/>
          <w:i w:val="0"/>
          <w:color w:val="333333"/>
          <w:sz w:val="22"/>
        </w:rPr>
        <w:t>Present test evidence and the measured latency comparison, then close with clear limits and next steps.</w:t>
      </w:r>
    </w:p>
    <w:p>
      <w:pPr>
        <w:pStyle w:val="Heading2"/>
        <w:spacing w:before="220"/>
      </w:pPr>
      <w:r>
        <w:rPr>
          <w:rFonts w:ascii="Arial" w:hAnsi="Arial" w:cs="Arial" w:eastAsia="Arial Unicode MS"/>
          <w:b/>
          <w:i w:val="0"/>
          <w:color w:val="000000"/>
          <w:sz w:val="27"/>
        </w:rPr>
        <w:t>Slide 10  Engineering evidence and evaluation limits</w:t>
      </w:r>
    </w:p>
    <w:p>
      <w:pPr>
        <w:keepNext w:val="0"/>
        <w:spacing w:after="140" w:before="0"/>
      </w:pPr>
      <w:r>
        <w:rPr>
          <w:rFonts w:ascii="Arial" w:hAnsi="Arial" w:cs="Arial" w:eastAsia="Arial Unicode MS"/>
          <w:b w:val="0"/>
          <w:i w:val="0"/>
          <w:color w:val="555555"/>
          <w:sz w:val="20"/>
        </w:rPr>
        <w:t>45 seconds</w:t>
      </w:r>
    </w:p>
    <w:p>
      <w:pPr>
        <w:keepNext w:val="0"/>
        <w:spacing w:after="180" w:before="0"/>
      </w:pPr>
      <w:r>
        <w:rPr>
          <w:rFonts w:ascii="Arial" w:hAnsi="Arial" w:cs="Arial" w:eastAsia="Arial Unicode MS"/>
          <w:b w:val="0"/>
          <w:i w:val="0"/>
          <w:color w:val="000000"/>
          <w:sz w:val="23"/>
        </w:rPr>
        <w:t>Our synthetic knee-pain case exercises symptom detail, uncertainty and sharing. A blood-pressure review case uses recorded readings and a file without forcing unrelated symptom questions. The recorded runs passed 748 backend tests and 107 frontend tests. The 266 security checks are included in the backend total. Browser checks cover the interface and language changes. Controlled demo responses make the workflow repeatable, while eight separate live calls check limited model behaviour and latency. These are engineering results. We have not yet completed a GenAI quality comparison or ablation study, so we do not claim a measured improvement in clinical accuracy.</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748和107是测试数量，不是病例或参与者数；266已包含在748中。报告的GenAI质量基线、消融与指标仍待补齐，不能把计划写成结果。</w:t>
      </w:r>
    </w:p>
    <w:p>
      <w:pPr>
        <w:pStyle w:val="Heading2"/>
        <w:spacing w:before="220"/>
      </w:pPr>
      <w:r>
        <w:rPr>
          <w:rFonts w:ascii="Arial" w:hAnsi="Arial" w:cs="Arial" w:eastAsia="Arial Unicode MS"/>
          <w:b/>
          <w:i w:val="0"/>
          <w:color w:val="000000"/>
          <w:sz w:val="27"/>
        </w:rPr>
        <w:t>Slide 11  Model choice and measured response time</w:t>
      </w:r>
    </w:p>
    <w:p>
      <w:pPr>
        <w:keepNext w:val="0"/>
        <w:spacing w:after="140" w:before="0"/>
      </w:pPr>
      <w:r>
        <w:rPr>
          <w:rFonts w:ascii="Arial" w:hAnsi="Arial" w:cs="Arial" w:eastAsia="Arial Unicode MS"/>
          <w:b w:val="0"/>
          <w:i w:val="0"/>
          <w:color w:val="555555"/>
          <w:sz w:val="20"/>
        </w:rPr>
        <w:t>25 seconds</w:t>
      </w:r>
    </w:p>
    <w:p>
      <w:pPr>
        <w:keepNext w:val="0"/>
        <w:spacing w:after="180" w:before="0"/>
      </w:pPr>
      <w:r>
        <w:rPr>
          <w:rFonts w:ascii="Arial" w:hAnsi="Arial" w:cs="Arial" w:eastAsia="Arial Unicode MS"/>
          <w:b w:val="0"/>
          <w:i w:val="0"/>
          <w:color w:val="000000"/>
          <w:sz w:val="23"/>
        </w:rPr>
        <w:t>New preparations default to Sol. Extraction uses low reasoning effort and final reports use medium. Across three paired extraction inputs, the median was about 7.7 seconds for Sol, versus 13.1 for the previous Astra configuration. Different reasoning settings and a small sample limit this comparison. It is neither a quality ranking nor an end-to-end speed guarantee.</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说明是不同配置的小样本对比，非公平的纯模型优劣结论。没有最终报告速度或质量等同的证据。</w:t>
      </w:r>
    </w:p>
    <w:p>
      <w:pPr>
        <w:pStyle w:val="Heading2"/>
        <w:spacing w:before="220"/>
      </w:pPr>
      <w:r>
        <w:rPr>
          <w:rFonts w:ascii="Arial" w:hAnsi="Arial" w:cs="Arial" w:eastAsia="Arial Unicode MS"/>
          <w:b/>
          <w:i w:val="0"/>
          <w:color w:val="000000"/>
          <w:sz w:val="27"/>
        </w:rPr>
        <w:t>Slide 12  What the prototype establishes</w:t>
      </w:r>
    </w:p>
    <w:p>
      <w:pPr>
        <w:keepNext w:val="0"/>
        <w:spacing w:after="140" w:before="0"/>
      </w:pPr>
      <w:r>
        <w:rPr>
          <w:rFonts w:ascii="Arial" w:hAnsi="Arial" w:cs="Arial" w:eastAsia="Arial Unicode MS"/>
          <w:b w:val="0"/>
          <w:i w:val="0"/>
          <w:color w:val="555555"/>
          <w:sz w:val="20"/>
        </w:rPr>
        <w:t>25 seconds</w:t>
      </w:r>
    </w:p>
    <w:p>
      <w:pPr>
        <w:keepNext w:val="0"/>
        <w:spacing w:after="180" w:before="0"/>
      </w:pPr>
      <w:r>
        <w:rPr>
          <w:rFonts w:ascii="Arial" w:hAnsi="Arial" w:cs="Arial" w:eastAsia="Arial Unicode MS"/>
          <w:b w:val="0"/>
          <w:i w:val="0"/>
          <w:color w:val="000000"/>
          <w:sz w:val="23"/>
        </w:rPr>
        <w:t>PreConsult demonstrates a complete preparation workflow with traceable drafts and version-specific patient approval. Structural checks still need semantic and clinical evaluation. Before a real pilot, we would need clinician review, representative patient testing and stronger deployment and data-governance controls. Our current evidence supports the implemented workflow. Thank you. We welcome your questions.</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以已验证的工程流程收束；临床质量、真实用户和部署治理是下一步，不是已完成。保持最后一句简洁。</w:t>
      </w:r>
    </w:p>
    <w:p>
      <w:pPr>
        <w:pStyle w:val="Heading1"/>
        <w:pageBreakBefore/>
        <w:spacing w:before="0"/>
      </w:pPr>
      <w:r>
        <w:rPr>
          <w:rFonts w:ascii="Arial" w:hAnsi="Arial" w:cs="Arial" w:eastAsia="Arial Unicode MS"/>
          <w:b/>
          <w:i w:val="0"/>
          <w:color w:val="000000"/>
          <w:sz w:val="42"/>
        </w:rPr>
        <w:t>Demo operation and fallback</w:t>
      </w:r>
    </w:p>
    <w:p>
      <w:pPr>
        <w:keepNext w:val="0"/>
        <w:spacing w:after="260" w:before="0"/>
      </w:pPr>
      <w:r>
        <w:rPr>
          <w:rFonts w:ascii="Arial" w:hAnsi="Arial" w:cs="Arial" w:eastAsia="Arial Unicode MS"/>
          <w:b w:val="0"/>
          <w:i w:val="0"/>
          <w:color w:val="000000"/>
          <w:sz w:val="23"/>
        </w:rPr>
        <w:t>Run one 60-second website segment during slide 4, then return to slide 5. Demonstrate prepared states rather than completing a new intake. Use only the isolated synthetic case and already generated output. This avoids live authentication, email and provider waits.</w:t>
      </w:r>
    </w:p>
    <w:p>
      <w:pPr>
        <w:pStyle w:val="Heading2"/>
        <w:spacing w:before="220"/>
      </w:pPr>
      <w:r>
        <w:rPr>
          <w:rFonts w:ascii="Arial" w:hAnsi="Arial" w:cs="Arial" w:eastAsia="Arial Unicode MS"/>
          <w:b/>
          <w:i w:val="0"/>
          <w:color w:val="000000"/>
          <w:sz w:val="27"/>
        </w:rPr>
        <w:t>Before the session</w:t>
      </w:r>
    </w:p>
    <w:p>
      <w:pPr>
        <w:keepNext w:val="0"/>
        <w:spacing w:after="160" w:before="0"/>
      </w:pPr>
      <w:r>
        <w:rPr>
          <w:rFonts w:ascii="Arial" w:hAnsi="Arial" w:cs="Arial" w:eastAsia="Arial Unicode MS"/>
          <w:b w:val="0"/>
          <w:i w:val="0"/>
          <w:color w:val="000000"/>
          <w:sz w:val="22"/>
        </w:rPr>
        <w:t>1. Open the deck and PDF fallback locally. One operator advances slides and watches the timer.</w:t>
      </w:r>
    </w:p>
    <w:p>
      <w:pPr>
        <w:keepNext w:val="0"/>
        <w:spacing w:after="160" w:before="0"/>
      </w:pPr>
      <w:r>
        <w:rPr>
          <w:rFonts w:ascii="Arial" w:hAnsi="Arial" w:cs="Arial" w:eastAsia="Arial Unicode MS"/>
          <w:b w:val="0"/>
          <w:i w:val="0"/>
          <w:color w:val="000000"/>
          <w:sz w:val="22"/>
        </w:rPr>
        <w:t>2. Preload the synthetic knee-pain wizard and review view in one clean demo window. Confirm the expected source entry and approval controls before presenting.</w:t>
      </w:r>
    </w:p>
    <w:p>
      <w:pPr>
        <w:keepNext w:val="0"/>
        <w:spacing w:after="160" w:before="0"/>
      </w:pPr>
      <w:r>
        <w:rPr>
          <w:rFonts w:ascii="Arial" w:hAnsi="Arial" w:cs="Arial" w:eastAsia="Arial Unicode MS"/>
          <w:b w:val="0"/>
          <w:i w:val="0"/>
          <w:color w:val="000000"/>
          <w:sz w:val="22"/>
        </w:rPr>
        <w:t>3. Prepare the body-map, source and approval captures in the same order. If a view fails once, continue with captures immediately.</w:t>
      </w:r>
    </w:p>
    <w:p>
      <w:pPr>
        <w:keepNext w:val="0"/>
        <w:spacing w:after="160" w:before="0"/>
      </w:pPr>
      <w:r>
        <w:rPr>
          <w:rFonts w:ascii="Arial" w:hAnsi="Arial" w:cs="Arial" w:eastAsia="Arial Unicode MS"/>
          <w:b w:val="0"/>
          <w:i w:val="0"/>
          <w:color w:val="000000"/>
          <w:sz w:val="22"/>
        </w:rPr>
        <w:t>4. Close unrelated tabs and notifications. Keep real patient information, API keys and verification codes off the projected screen.</w:t>
      </w:r>
    </w:p>
    <w:p>
      <w:pPr>
        <w:pStyle w:val="Heading2"/>
        <w:spacing w:before="220"/>
      </w:pPr>
      <w:r>
        <w:rPr>
          <w:rFonts w:ascii="Arial" w:hAnsi="Arial" w:cs="Arial" w:eastAsia="Arial Unicode MS"/>
          <w:b/>
          <w:i w:val="0"/>
          <w:color w:val="000000"/>
          <w:sz w:val="27"/>
        </w:rPr>
        <w:t>The sixty second sequence</w:t>
      </w:r>
    </w:p>
    <w:tbl>
      <w:tblPr>
        <w:tblW w:type="auto" w:w="0"/>
        <w:jc w:val="center"/>
        <w:tblLayout w:type="fixed"/>
        <w:tblLook w:firstColumn="1" w:firstRow="1" w:lastColumn="0" w:lastRow="0" w:noHBand="0" w:noVBand="1" w:val="04A0"/>
      </w:tblPr>
      <w:tblGrid>
        <w:gridCol w:w="1123"/>
        <w:gridCol w:w="5170"/>
        <w:gridCol w:w="2995"/>
      </w:tblGrid>
      <w:tr>
        <w:trPr>
          <w:tblHeader/>
        </w:trPr>
        <w:tc>
          <w:tcPr>
            <w:tcW w:type="dxa" w:w="1123"/>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333333"/>
          </w:tcPr>
          <w:p>
            <w:pPr>
              <w:spacing w:after="0" w:line="276" w:lineRule="auto"/>
              <w:jc w:val="center"/>
            </w:pPr>
            <w:r>
              <w:rPr>
                <w:rFonts w:ascii="Arial" w:hAnsi="Arial" w:cs="Arial" w:eastAsia="Arial Unicode MS"/>
                <w:b/>
                <w:i w:val="0"/>
                <w:color w:val="FFFFFF"/>
                <w:sz w:val="21"/>
              </w:rPr>
              <w:t>Time (s)</w:t>
            </w:r>
          </w:p>
        </w:tc>
        <w:tc>
          <w:tcPr>
            <w:tcW w:type="dxa" w:w="5170"/>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333333"/>
          </w:tcPr>
          <w:p>
            <w:pPr>
              <w:spacing w:after="0" w:line="276" w:lineRule="auto"/>
              <w:jc w:val="center"/>
            </w:pPr>
            <w:r>
              <w:rPr>
                <w:rFonts w:ascii="Arial" w:hAnsi="Arial" w:cs="Arial" w:eastAsia="Arial Unicode MS"/>
                <w:b/>
                <w:i w:val="0"/>
                <w:color w:val="FFFFFF"/>
                <w:sz w:val="21"/>
              </w:rPr>
              <w:t>Action and narration</w:t>
            </w:r>
          </w:p>
        </w:tc>
        <w:tc>
          <w:tcPr>
            <w:tcW w:type="dxa" w:w="2995"/>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333333"/>
          </w:tcPr>
          <w:p>
            <w:pPr>
              <w:spacing w:after="0" w:line="276" w:lineRule="auto"/>
              <w:jc w:val="center"/>
            </w:pPr>
            <w:r>
              <w:rPr>
                <w:rFonts w:ascii="Arial" w:hAnsi="Arial" w:cs="Arial" w:eastAsia="Arial Unicode MS"/>
                <w:b/>
                <w:i w:val="0"/>
                <w:color w:val="FFFFFF"/>
                <w:sz w:val="21"/>
              </w:rPr>
              <w:t>If unavailable</w:t>
            </w:r>
          </w:p>
        </w:tc>
      </w:tr>
      <w:tr>
        <w:tc>
          <w:tcPr>
            <w:tcW w:type="dxa" w:w="1123"/>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center"/>
            </w:pPr>
            <w:r>
              <w:rPr>
                <w:rFonts w:ascii="Arial" w:hAnsi="Arial" w:cs="Arial" w:eastAsia="Arial Unicode MS"/>
                <w:b w:val="0"/>
                <w:i w:val="0"/>
                <w:color w:val="000000"/>
                <w:sz w:val="21"/>
              </w:rPr>
              <w:t>0–10</w:t>
            </w:r>
          </w:p>
        </w:tc>
        <w:tc>
          <w:tcPr>
            <w:tcW w:type="dxa" w:w="5170"/>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left"/>
            </w:pPr>
            <w:r>
              <w:rPr>
                <w:rFonts w:ascii="Arial" w:hAnsi="Arial" w:cs="Arial" w:eastAsia="Arial Unicode MS"/>
                <w:b w:val="0"/>
                <w:i w:val="0"/>
                <w:color w:val="000000"/>
                <w:sz w:val="21"/>
              </w:rPr>
              <w:t>Switch from slide 4 to the saved knee wizard. Point to both knees and say the right is worse.</w:t>
            </w:r>
          </w:p>
        </w:tc>
        <w:tc>
          <w:tcPr>
            <w:tcW w:type="dxa" w:w="2995"/>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left"/>
            </w:pPr>
            <w:r>
              <w:rPr>
                <w:rFonts w:ascii="Arial" w:hAnsi="Arial" w:cs="Arial" w:eastAsia="Arial Unicode MS"/>
                <w:b w:val="0"/>
                <w:i w:val="0"/>
                <w:color w:val="000000"/>
                <w:sz w:val="21"/>
              </w:rPr>
              <w:t>Use the body map on slide 4.</w:t>
            </w:r>
          </w:p>
        </w:tc>
      </w:tr>
      <w:tr>
        <w:tc>
          <w:tcPr>
            <w:tcW w:type="dxa" w:w="1123"/>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center"/>
            </w:pPr>
            <w:r>
              <w:rPr>
                <w:rFonts w:ascii="Arial" w:hAnsi="Arial" w:cs="Arial" w:eastAsia="Arial Unicode MS"/>
                <w:b w:val="0"/>
                <w:i w:val="0"/>
                <w:color w:val="000000"/>
                <w:sz w:val="21"/>
              </w:rPr>
              <w:t>10–25</w:t>
            </w:r>
          </w:p>
        </w:tc>
        <w:tc>
          <w:tcPr>
            <w:tcW w:type="dxa" w:w="5170"/>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left"/>
            </w:pPr>
            <w:r>
              <w:rPr>
                <w:rFonts w:ascii="Arial" w:hAnsi="Arial" w:cs="Arial" w:eastAsia="Arial Unicode MS"/>
                <w:b w:val="0"/>
                <w:i w:val="0"/>
                <w:color w:val="000000"/>
                <w:sz w:val="21"/>
              </w:rPr>
              <w:t>Show “stairs make it worse” and its source. Explain that OLD CARTS organises relevant details. R means relief; spread is separate.</w:t>
            </w:r>
          </w:p>
        </w:tc>
        <w:tc>
          <w:tcPr>
            <w:tcW w:type="dxa" w:w="2995"/>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left"/>
            </w:pPr>
            <w:r>
              <w:rPr>
                <w:rFonts w:ascii="Arial" w:hAnsi="Arial" w:cs="Arial" w:eastAsia="Arial Unicode MS"/>
                <w:b w:val="0"/>
                <w:i w:val="0"/>
                <w:color w:val="000000"/>
                <w:sz w:val="21"/>
              </w:rPr>
              <w:t>Use the prepared answer and source captures.</w:t>
            </w:r>
          </w:p>
        </w:tc>
      </w:tr>
      <w:tr>
        <w:tc>
          <w:tcPr>
            <w:tcW w:type="dxa" w:w="1123"/>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center"/>
            </w:pPr>
            <w:r>
              <w:rPr>
                <w:rFonts w:ascii="Arial" w:hAnsi="Arial" w:cs="Arial" w:eastAsia="Arial Unicode MS"/>
                <w:b w:val="0"/>
                <w:i w:val="0"/>
                <w:color w:val="000000"/>
                <w:sz w:val="21"/>
              </w:rPr>
              <w:t>25–40</w:t>
            </w:r>
          </w:p>
        </w:tc>
        <w:tc>
          <w:tcPr>
            <w:tcW w:type="dxa" w:w="5170"/>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left"/>
            </w:pPr>
            <w:r>
              <w:rPr>
                <w:rFonts w:ascii="Arial" w:hAnsi="Arial" w:cs="Arial" w:eastAsia="Arial Unicode MS"/>
                <w:b w:val="0"/>
                <w:i w:val="0"/>
                <w:color w:val="000000"/>
                <w:sz w:val="21"/>
              </w:rPr>
              <w:t>Open the preloaded review view and expand its evidence. Point out that an unknown answer stays unknown and the record can be corrected.</w:t>
            </w:r>
          </w:p>
        </w:tc>
        <w:tc>
          <w:tcPr>
            <w:tcW w:type="dxa" w:w="2995"/>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left"/>
            </w:pPr>
            <w:r>
              <w:rPr>
                <w:rFonts w:ascii="Arial" w:hAnsi="Arial" w:cs="Arial" w:eastAsia="Arial Unicode MS"/>
                <w:b w:val="0"/>
                <w:i w:val="0"/>
                <w:color w:val="000000"/>
                <w:sz w:val="21"/>
              </w:rPr>
              <w:t>Show the source and summary captures.</w:t>
            </w:r>
          </w:p>
        </w:tc>
      </w:tr>
      <w:tr>
        <w:tc>
          <w:tcPr>
            <w:tcW w:type="dxa" w:w="1123"/>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center"/>
            </w:pPr>
            <w:r>
              <w:rPr>
                <w:rFonts w:ascii="Arial" w:hAnsi="Arial" w:cs="Arial" w:eastAsia="Arial Unicode MS"/>
                <w:b w:val="0"/>
                <w:i w:val="0"/>
                <w:color w:val="000000"/>
                <w:sz w:val="21"/>
              </w:rPr>
              <w:t>40–60</w:t>
            </w:r>
          </w:p>
        </w:tc>
        <w:tc>
          <w:tcPr>
            <w:tcW w:type="dxa" w:w="5170"/>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left"/>
            </w:pPr>
            <w:r>
              <w:rPr>
                <w:rFonts w:ascii="Arial" w:hAnsi="Arial" w:cs="Arial" w:eastAsia="Arial Unicode MS"/>
                <w:b w:val="0"/>
                <w:i w:val="0"/>
                <w:color w:val="000000"/>
                <w:sz w:val="21"/>
              </w:rPr>
              <w:t>Point to doctor selection and approval without clicking Share. Explain the controlled fixture content. Return to slide 5 at 60 seconds.</w:t>
            </w:r>
          </w:p>
        </w:tc>
        <w:tc>
          <w:tcPr>
            <w:tcW w:type="dxa" w:w="2995"/>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left"/>
            </w:pPr>
            <w:r>
              <w:rPr>
                <w:rFonts w:ascii="Arial" w:hAnsi="Arial" w:cs="Arial" w:eastAsia="Arial Unicode MS"/>
                <w:b w:val="0"/>
                <w:i w:val="0"/>
                <w:color w:val="000000"/>
                <w:sz w:val="21"/>
              </w:rPr>
              <w:t>Use the approval capture. Return to slide 5 on time.</w:t>
            </w:r>
          </w:p>
        </w:tc>
      </w:tr>
    </w:tbl>
    <w:p>
      <w:pPr>
        <w:keepNext w:val="0"/>
        <w:spacing w:after="220" w:before="200"/>
      </w:pPr>
      <w:r>
        <w:rPr>
          <w:rFonts w:ascii="Arial" w:hAnsi="Arial" w:cs="Arial" w:eastAsia="Arial Unicode MS"/>
          <w:b w:val="0"/>
          <w:i w:val="0"/>
          <w:color w:val="000000"/>
          <w:sz w:val="21"/>
        </w:rPr>
        <w:t>Do not record audio, regenerate AI output or send a sharing email on stage. Explain the voice control from the captured interface. If a view fails, say “Let me use the captured example so we can keep to time.”</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60秒是总时长，不是讲完PPT后再加一分钟。截图替代时照同一旁白继续，不把它说成刚刚发生的实时AI结果。</w:t>
      </w:r>
    </w:p>
    <w:p>
      <w:pPr>
        <w:pStyle w:val="Heading1"/>
        <w:pageBreakBefore/>
        <w:spacing w:before="0"/>
      </w:pPr>
      <w:r>
        <w:rPr>
          <w:rFonts w:ascii="Arial" w:hAnsi="Arial" w:cs="Arial" w:eastAsia="Arial Unicode MS"/>
          <w:b/>
          <w:i w:val="0"/>
          <w:color w:val="000000"/>
          <w:sz w:val="42"/>
        </w:rPr>
        <w:t>Questions for every team member 1 to 6</w:t>
      </w:r>
    </w:p>
    <w:p>
      <w:pPr>
        <w:keepNext w:val="0"/>
        <w:spacing w:after="200" w:before="0"/>
      </w:pPr>
      <w:r>
        <w:rPr>
          <w:rFonts w:ascii="Arial" w:hAnsi="Arial" w:cs="Arial" w:eastAsia="Arial Unicode MS"/>
          <w:b w:val="0"/>
          <w:i w:val="0"/>
          <w:color w:val="444444"/>
          <w:sz w:val="21"/>
        </w:rPr>
        <w:t>Give the short answer first. Add the relevant evidence or limitation only if the examiner asks for detail.</w:t>
      </w:r>
    </w:p>
    <w:p>
      <w:pPr>
        <w:keepNext/>
        <w:spacing w:before="160" w:after="100"/>
      </w:pPr>
      <w:r>
        <w:rPr>
          <w:rFonts w:ascii="Arial" w:hAnsi="Arial" w:cs="Arial" w:eastAsia="Arial Unicode MS"/>
          <w:b/>
          <w:i w:val="0"/>
          <w:color w:val="000000"/>
          <w:sz w:val="22"/>
        </w:rPr>
        <w:t>1. What is your main contribution?</w:t>
      </w:r>
    </w:p>
    <w:p>
      <w:pPr>
        <w:keepNext w:val="0"/>
        <w:spacing w:after="100" w:before="0"/>
      </w:pPr>
      <w:r>
        <w:rPr>
          <w:rFonts w:ascii="Arial" w:hAnsi="Arial" w:cs="Arial" w:eastAsia="Arial Unicode MS"/>
          <w:b w:val="0"/>
          <w:i w:val="0"/>
          <w:color w:val="000000"/>
          <w:sz w:val="21"/>
        </w:rPr>
        <w:t>The contribution is an integrated preparation workflow: one-question steps, editable evidence, bounded follow-up and approval of a specific record for a selected doctor. We do not claim to have invented symptom interviewing or to outperform established products.</w:t>
      </w:r>
    </w:p>
    <w:p>
      <w:pPr>
        <w:spacing w:after="8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先讲集成工程贡献，不讲临床优越性。</w:t>
      </w:r>
    </w:p>
    <w:p>
      <w:pPr>
        <w:keepNext/>
        <w:spacing w:before="160" w:after="100"/>
      </w:pPr>
      <w:r>
        <w:rPr>
          <w:rFonts w:ascii="Arial" w:hAnsi="Arial" w:cs="Arial" w:eastAsia="Arial Unicode MS"/>
          <w:b/>
          <w:i w:val="0"/>
          <w:color w:val="000000"/>
          <w:sz w:val="22"/>
        </w:rPr>
        <w:t>2. Can a malicious prompt delete the server?</w:t>
      </w:r>
    </w:p>
    <w:p>
      <w:pPr>
        <w:keepNext w:val="0"/>
        <w:spacing w:after="100" w:before="0"/>
      </w:pPr>
      <w:r>
        <w:rPr>
          <w:rFonts w:ascii="Arial" w:hAnsi="Arial" w:cs="Arial" w:eastAsia="Arial Unicode MS"/>
          <w:b w:val="0"/>
          <w:i w:val="0"/>
          <w:color w:val="000000"/>
          <w:sz w:val="21"/>
        </w:rPr>
        <w:t>The application does not expose a shell or file-execution tool to the language model. Model output is treated as a proposal and checked against allowed data operations. This architecture removes that direct route; it does not remove every possible software vulnerability.</w:t>
      </w:r>
    </w:p>
    <w:p>
      <w:pPr>
        <w:spacing w:after="8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核心是没有执行权限，而不是只依赖提示词说不要删除。</w:t>
      </w:r>
    </w:p>
    <w:p>
      <w:pPr>
        <w:keepNext/>
        <w:spacing w:before="160" w:after="100"/>
      </w:pPr>
      <w:r>
        <w:rPr>
          <w:rFonts w:ascii="Arial" w:hAnsi="Arial" w:cs="Arial" w:eastAsia="Arial Unicode MS"/>
          <w:b/>
          <w:i w:val="0"/>
          <w:color w:val="000000"/>
          <w:sz w:val="22"/>
        </w:rPr>
        <w:t>3. Can a user ask for another patient’s record?</w:t>
      </w:r>
    </w:p>
    <w:p>
      <w:pPr>
        <w:keepNext w:val="0"/>
        <w:spacing w:after="100" w:before="0"/>
      </w:pPr>
      <w:r>
        <w:rPr>
          <w:rFonts w:ascii="Arial" w:hAnsi="Arial" w:cs="Arial" w:eastAsia="Arial Unicode MS"/>
          <w:b w:val="0"/>
          <w:i w:val="0"/>
          <w:color w:val="000000"/>
          <w:sz w:val="21"/>
        </w:rPr>
        <w:t>Knowing or requesting a record ID does not grant access. The API checks the authenticated patient owner or the authorised doctor and sharing state. The model is not given a patient-search tool. The access-control tests are separate from the live language-model smoke checks.</w:t>
      </w:r>
    </w:p>
    <w:p>
      <w:pPr>
        <w:spacing w:after="8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区分真实 API 授权拒绝与模型输出检查。</w:t>
      </w:r>
    </w:p>
    <w:p>
      <w:pPr>
        <w:keepNext/>
        <w:spacing w:before="160" w:after="100"/>
      </w:pPr>
      <w:r>
        <w:rPr>
          <w:rFonts w:ascii="Arial" w:hAnsi="Arial" w:cs="Arial" w:eastAsia="Arial Unicode MS"/>
          <w:b/>
          <w:i w:val="0"/>
          <w:color w:val="000000"/>
          <w:sz w:val="22"/>
        </w:rPr>
        <w:t>4. Is the system safe for clinical use?</w:t>
      </w:r>
    </w:p>
    <w:p>
      <w:pPr>
        <w:keepNext w:val="0"/>
        <w:spacing w:after="100" w:before="0"/>
      </w:pPr>
      <w:r>
        <w:rPr>
          <w:rFonts w:ascii="Arial" w:hAnsi="Arial" w:cs="Arial" w:eastAsia="Arial Unicode MS"/>
          <w:b w:val="0"/>
          <w:i w:val="0"/>
          <w:color w:val="000000"/>
          <w:sz w:val="21"/>
        </w:rPr>
        <w:t>We have engineering and small synthetic model checks, not clinical validation. Registration verifies email ownership, not medical licensure. The preliminary assessment needs clinician review. Before clinical deployment we would need representative clinician-rated evaluation, credential verification, a data-governance review and operational monitoring.</w:t>
      </w:r>
    </w:p>
    <w:p>
      <w:pPr>
        <w:spacing w:after="8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不承诺能诊断或可立即临床部署；医生注册只验证邮箱，不是执业资质认证。</w:t>
      </w:r>
    </w:p>
    <w:p>
      <w:pPr>
        <w:keepNext/>
        <w:spacing w:before="160" w:after="100"/>
      </w:pPr>
      <w:r>
        <w:rPr>
          <w:rFonts w:ascii="Arial" w:hAnsi="Arial" w:cs="Arial" w:eastAsia="Arial Unicode MS"/>
          <w:b/>
          <w:i w:val="0"/>
          <w:color w:val="000000"/>
          <w:sz w:val="22"/>
        </w:rPr>
        <w:t>5. Why use OLD CARTS and which version do you follow?</w:t>
      </w:r>
    </w:p>
    <w:p>
      <w:pPr>
        <w:keepNext w:val="0"/>
        <w:spacing w:after="100" w:before="0"/>
      </w:pPr>
      <w:r>
        <w:rPr>
          <w:rFonts w:ascii="Arial" w:hAnsi="Arial" w:cs="Arial" w:eastAsia="Arial Unicode MS"/>
          <w:b w:val="0"/>
          <w:i w:val="0"/>
          <w:color w:val="000000"/>
          <w:sz w:val="21"/>
        </w:rPr>
        <w:t>It gives familiar categories for a symptom story. We use R for relieving factors and record radiation separately. Onset, overall duration and episode duration are distinct. The framework is applied when relevant and is not used as a clinical completeness score.</w:t>
      </w:r>
    </w:p>
    <w:p>
      <w:pPr>
        <w:spacing w:after="8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先说所用变体，再说不强制所有病例填满八项。</w:t>
      </w:r>
    </w:p>
    <w:p>
      <w:pPr>
        <w:keepNext/>
        <w:spacing w:before="160" w:after="100"/>
      </w:pPr>
      <w:r>
        <w:rPr>
          <w:rFonts w:ascii="Arial" w:hAnsi="Arial" w:cs="Arial" w:eastAsia="Arial Unicode MS"/>
          <w:b/>
          <w:i w:val="0"/>
          <w:color w:val="000000"/>
          <w:sz w:val="22"/>
        </w:rPr>
        <w:t>6. What stops repeated or endless AI questions?</w:t>
      </w:r>
    </w:p>
    <w:p>
      <w:pPr>
        <w:keepNext w:val="0"/>
        <w:spacing w:after="100" w:before="0"/>
      </w:pPr>
      <w:r>
        <w:rPr>
          <w:rFonts w:ascii="Arial" w:hAnsi="Arial" w:cs="Arial" w:eastAsia="Arial Unicode MS"/>
          <w:b w:val="0"/>
          <w:i w:val="0"/>
          <w:color w:val="000000"/>
          <w:sz w:val="21"/>
        </w:rPr>
        <w:t>The backend restricts eligible targets and normally publishes one batch of at most five questions, shown one at a time. A narrow second-round exception exists for new medicine or allergy conflicts. Unknown and declined answers are preserved instead of being repeatedly requested.</w:t>
      </w:r>
    </w:p>
    <w:p>
      <w:pPr>
        <w:spacing w:after="8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正常最多5题；特殊第二轮的范围要限定。</w:t>
      </w:r>
    </w:p>
    <w:p>
      <w:pPr>
        <w:pStyle w:val="Heading1"/>
        <w:pageBreakBefore/>
        <w:spacing w:before="0"/>
      </w:pPr>
      <w:r>
        <w:rPr>
          <w:rFonts w:ascii="Arial" w:hAnsi="Arial" w:cs="Arial" w:eastAsia="Arial Unicode MS"/>
          <w:b/>
          <w:i w:val="0"/>
          <w:color w:val="000000"/>
          <w:sz w:val="42"/>
        </w:rPr>
        <w:t>Questions for every team member 7 to 12</w:t>
      </w:r>
    </w:p>
    <w:p>
      <w:pPr>
        <w:keepNext w:val="0"/>
        <w:spacing w:after="200" w:before="0"/>
      </w:pPr>
      <w:r>
        <w:rPr>
          <w:rFonts w:ascii="Arial" w:hAnsi="Arial" w:cs="Arial" w:eastAsia="Arial Unicode MS"/>
          <w:b w:val="0"/>
          <w:i w:val="0"/>
          <w:color w:val="444444"/>
          <w:sz w:val="21"/>
        </w:rPr>
        <w:t>Give the short answer first. Add the relevant evidence or limitation only if the examiner asks for detail.</w:t>
      </w:r>
    </w:p>
    <w:p>
      <w:pPr>
        <w:keepNext/>
        <w:spacing w:before="160" w:after="100"/>
      </w:pPr>
      <w:r>
        <w:rPr>
          <w:rFonts w:ascii="Arial" w:hAnsi="Arial" w:cs="Arial" w:eastAsia="Arial Unicode MS"/>
          <w:b/>
          <w:i w:val="0"/>
          <w:color w:val="000000"/>
          <w:sz w:val="22"/>
        </w:rPr>
        <w:t>7. Does a source citation prove a statement is true?</w:t>
      </w:r>
    </w:p>
    <w:p>
      <w:pPr>
        <w:keepNext w:val="0"/>
        <w:spacing w:after="100" w:before="0"/>
      </w:pPr>
      <w:r>
        <w:rPr>
          <w:rFonts w:ascii="Arial" w:hAnsi="Arial" w:cs="Arial" w:eastAsia="Arial Unicode MS"/>
          <w:b w:val="0"/>
          <w:i w:val="0"/>
          <w:color w:val="000000"/>
          <w:sz w:val="21"/>
        </w:rPr>
        <w:t>No. A valid source ID and structural checks can catch some added numbers or lost uncertainty, but they do not prove faithful paraphrasing or medical truth. The patient can inspect original evidence. Clinicians receive the approved facts and permitted attachments. A separate semantic evaluation and clinician review are still needed.</w:t>
      </w:r>
    </w:p>
    <w:p>
      <w:pPr>
        <w:spacing w:after="8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来源存在不等于语义蕴含，更不等于医学正确。</w:t>
      </w:r>
    </w:p>
    <w:p>
      <w:pPr>
        <w:keepNext/>
        <w:spacing w:before="160" w:after="100"/>
      </w:pPr>
      <w:r>
        <w:rPr>
          <w:rFonts w:ascii="Arial" w:hAnsi="Arial" w:cs="Arial" w:eastAsia="Arial Unicode MS"/>
          <w:b/>
          <w:i w:val="0"/>
          <w:color w:val="000000"/>
          <w:sz w:val="22"/>
        </w:rPr>
        <w:t>8. What happens if the AI service is slow or unavailable?</w:t>
      </w:r>
    </w:p>
    <w:p>
      <w:pPr>
        <w:keepNext w:val="0"/>
        <w:spacing w:after="100" w:before="0"/>
      </w:pPr>
      <w:r>
        <w:rPr>
          <w:rFonts w:ascii="Arial" w:hAnsi="Arial" w:cs="Arial" w:eastAsia="Arial Unicode MS"/>
          <w:b w:val="0"/>
          <w:i w:val="0"/>
          <w:color w:val="000000"/>
          <w:sz w:val="21"/>
        </w:rPr>
        <w:t>Saved answers and the structured wizard remain usable. The interface reports the AI failure and provides retry or manual continuation where available. We do not label deterministic output as a successful AI result. On stage, we return to captured screens after one failure rather than wait through provider retries.</w:t>
      </w:r>
    </w:p>
    <w:p>
      <w:pPr>
        <w:spacing w:after="8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回答保留、手动继续、明确错误；演示卡住就转截图。</w:t>
      </w:r>
    </w:p>
    <w:p>
      <w:pPr>
        <w:keepNext/>
        <w:spacing w:before="160" w:after="100"/>
      </w:pPr>
      <w:r>
        <w:rPr>
          <w:rFonts w:ascii="Arial" w:hAnsi="Arial" w:cs="Arial" w:eastAsia="Arial Unicode MS"/>
          <w:b/>
          <w:i w:val="0"/>
          <w:color w:val="000000"/>
          <w:sz w:val="22"/>
        </w:rPr>
        <w:t>9. Why did you choose GPT-6 Sol?</w:t>
      </w:r>
    </w:p>
    <w:p>
      <w:pPr>
        <w:keepNext w:val="0"/>
        <w:spacing w:after="100" w:before="0"/>
      </w:pPr>
      <w:r>
        <w:rPr>
          <w:rFonts w:ascii="Arial" w:hAnsi="Arial" w:cs="Arial" w:eastAsia="Arial Unicode MS"/>
          <w:b w:val="0"/>
          <w:i w:val="0"/>
          <w:color w:val="000000"/>
          <w:sz w:val="21"/>
        </w:rPr>
        <w:t>We prioritised responsiveness and kept the advanced model selector. In three paired extraction examples, Sol with low reasoning had a 7.677-second median, versus 13.053 seconds for the existing Astra configuration. This small configuration comparison does not establish equal clinical quality or a service-level guarantee.</w:t>
      </w:r>
    </w:p>
    <w:p>
      <w:pPr>
        <w:spacing w:after="8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不能把3个样本当普遍性能结论，也不说两模型质量相同。</w:t>
      </w:r>
    </w:p>
    <w:p>
      <w:pPr>
        <w:keepNext/>
        <w:spacing w:before="160" w:after="100"/>
      </w:pPr>
      <w:r>
        <w:rPr>
          <w:rFonts w:ascii="Arial" w:hAnsi="Arial" w:cs="Arial" w:eastAsia="Arial Unicode MS"/>
          <w:b/>
          <w:i w:val="0"/>
          <w:color w:val="000000"/>
          <w:sz w:val="22"/>
        </w:rPr>
        <w:t>10. How much of the demonstration is a live AI result?</w:t>
      </w:r>
    </w:p>
    <w:p>
      <w:pPr>
        <w:keepNext w:val="0"/>
        <w:spacing w:after="100" w:before="0"/>
      </w:pPr>
      <w:r>
        <w:rPr>
          <w:rFonts w:ascii="Arial" w:hAnsi="Arial" w:cs="Arial" w:eastAsia="Arial Unicode MS"/>
          <w:b w:val="0"/>
          <w:i w:val="0"/>
          <w:color w:val="000000"/>
          <w:sz w:val="21"/>
        </w:rPr>
        <w:t>The interface screenshots use a separate database and deterministic AI fixtures so the same workflow can be repeated. The separate live evidence contains six extraction requests across three paired inputs and two injection examples. We label these separately; the displayed assessment prose is not an independent accuracy result.</w:t>
      </w:r>
    </w:p>
    <w:p>
      <w:pPr>
        <w:spacing w:after="8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3个输入各测两种模型，共6次普通提取，加2次注入；截图与实测分开。</w:t>
      </w:r>
    </w:p>
    <w:p>
      <w:pPr>
        <w:keepNext/>
        <w:spacing w:before="160" w:after="100"/>
      </w:pPr>
      <w:r>
        <w:rPr>
          <w:rFonts w:ascii="Arial" w:hAnsi="Arial" w:cs="Arial" w:eastAsia="Arial Unicode MS"/>
          <w:b/>
          <w:i w:val="0"/>
          <w:color w:val="000000"/>
          <w:sz w:val="22"/>
        </w:rPr>
        <w:t>11. What does withdrawing sharing actually do?</w:t>
      </w:r>
    </w:p>
    <w:p>
      <w:pPr>
        <w:keepNext w:val="0"/>
        <w:spacing w:after="100" w:before="0"/>
      </w:pPr>
      <w:r>
        <w:rPr>
          <w:rFonts w:ascii="Arial" w:hAnsi="Arial" w:cs="Arial" w:eastAsia="Arial Unicode MS"/>
          <w:b w:val="0"/>
          <w:i w:val="0"/>
          <w:color w:val="000000"/>
          <w:sz w:val="21"/>
        </w:rPr>
        <w:t>Withdrawal stops subsequent access through the application by that doctor. It cannot erase a document that someone already downloaded or copied. Corrections and renewed sharing need review of the current record version, so an older approval is not treated as blanket permission.</w:t>
      </w:r>
    </w:p>
    <w:p>
      <w:pPr>
        <w:spacing w:after="8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明确撤回的边界，别说能远程抹掉已下载副本。</w:t>
      </w:r>
    </w:p>
    <w:p>
      <w:pPr>
        <w:keepNext/>
        <w:spacing w:before="160" w:after="100"/>
      </w:pPr>
      <w:r>
        <w:rPr>
          <w:rFonts w:ascii="Arial" w:hAnsi="Arial" w:cs="Arial" w:eastAsia="Arial Unicode MS"/>
          <w:b/>
          <w:i w:val="0"/>
          <w:color w:val="000000"/>
          <w:sz w:val="22"/>
        </w:rPr>
        <w:t>12. What would you evaluate next?</w:t>
      </w:r>
    </w:p>
    <w:p>
      <w:pPr>
        <w:keepNext w:val="0"/>
        <w:spacing w:after="100" w:before="0"/>
      </w:pPr>
      <w:r>
        <w:rPr>
          <w:rFonts w:ascii="Arial" w:hAnsi="Arial" w:cs="Arial" w:eastAsia="Arial Unicode MS"/>
          <w:b w:val="0"/>
          <w:i w:val="0"/>
          <w:color w:val="000000"/>
          <w:sz w:val="21"/>
        </w:rPr>
        <w:t>We would freeze a representative synthetic case set and compare the constrained pipeline with a plain-prompt baseline and selected ablations. Clinicians would rate unsupported claims, relevant detail and uncertainty preservation. User sessions would measure completion burden and comprehension. These studies are planned; the shared report does not yet provide their results.</w:t>
      </w:r>
    </w:p>
    <w:p>
      <w:pPr>
        <w:spacing w:after="8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提出具体评估指标，不把这些计划说成已完成结果。</w:t>
      </w:r>
    </w:p>
    <w:p>
      <w:pPr>
        <w:pStyle w:val="Heading1"/>
        <w:pageBreakBefore/>
        <w:spacing w:before="0"/>
      </w:pPr>
      <w:r>
        <w:rPr>
          <w:rFonts w:ascii="Arial" w:hAnsi="Arial" w:cs="Arial" w:eastAsia="Arial Unicode MS"/>
          <w:b/>
          <w:i w:val="0"/>
          <w:color w:val="000000"/>
          <w:sz w:val="42"/>
        </w:rPr>
        <w:t>Backup slide speaking notes</w:t>
      </w:r>
    </w:p>
    <w:p>
      <w:pPr>
        <w:keepNext w:val="0"/>
        <w:spacing w:after="260" w:before="0"/>
      </w:pPr>
      <w:r>
        <w:rPr>
          <w:rFonts w:ascii="Arial" w:hAnsi="Arial" w:cs="Arial" w:eastAsia="Arial Unicode MS"/>
          <w:b w:val="0"/>
          <w:i w:val="0"/>
          <w:color w:val="444444"/>
          <w:sz w:val="21"/>
        </w:rPr>
        <w:t>Do not include these notes in the timed main script. All members should know the message; the named presenter is a suggested lead for a detailed answer.</w:t>
      </w:r>
    </w:p>
    <w:p>
      <w:pPr>
        <w:pStyle w:val="Heading2"/>
        <w:spacing w:before="220"/>
      </w:pPr>
      <w:r>
        <w:rPr>
          <w:rFonts w:ascii="Arial" w:hAnsi="Arial" w:cs="Arial" w:eastAsia="Arial Unicode MS"/>
          <w:b/>
          <w:i w:val="0"/>
          <w:color w:val="000000"/>
          <w:sz w:val="27"/>
        </w:rPr>
        <w:t>Slide 13  OLD CARTS field mapping</w:t>
      </w:r>
    </w:p>
    <w:p>
      <w:pPr>
        <w:keepNext w:val="0"/>
        <w:spacing w:after="120" w:before="0"/>
      </w:pPr>
      <w:r>
        <w:rPr>
          <w:rFonts w:ascii="Arial" w:hAnsi="Arial" w:cs="Arial" w:eastAsia="Arial Unicode MS"/>
          <w:b w:val="0"/>
          <w:i w:val="0"/>
          <w:color w:val="555555"/>
          <w:sz w:val="20"/>
        </w:rPr>
        <w:t>Suggested lead  Guopeng Tan</w:t>
      </w:r>
    </w:p>
    <w:p>
      <w:pPr>
        <w:keepNext w:val="0"/>
        <w:spacing w:after="120" w:before="0"/>
      </w:pPr>
      <w:r>
        <w:rPr>
          <w:rFonts w:ascii="Arial" w:hAnsi="Arial" w:cs="Arial" w:eastAsia="Arial Unicode MS"/>
          <w:b w:val="0"/>
          <w:i w:val="0"/>
          <w:color w:val="000000"/>
          <w:sz w:val="21"/>
        </w:rPr>
        <w:t>Use when asked about the clinical structure. Name all eight categories and state that our R means relief. The University of Maryland reference uses radiation for R, so explain the variant rather than claiming one universal definition. Show overall duration and single-episode duration separately. Nonsymptom visits do not inherit every symptom question. Recorded, uncertain, skipped and missing states are not interchangeable.</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可用双膝病例说明位置、加重与缓解；家庭血压讨论说明不适用的题不会强制出现。</w:t>
      </w:r>
    </w:p>
    <w:p>
      <w:pPr>
        <w:pStyle w:val="Heading2"/>
        <w:spacing w:before="220"/>
      </w:pPr>
      <w:r>
        <w:rPr>
          <w:rFonts w:ascii="Arial" w:hAnsi="Arial" w:cs="Arial" w:eastAsia="Arial Unicode MS"/>
          <w:b/>
          <w:i w:val="0"/>
          <w:color w:val="000000"/>
          <w:sz w:val="27"/>
        </w:rPr>
        <w:t>Slide 14  Security matrix</w:t>
      </w:r>
    </w:p>
    <w:p>
      <w:pPr>
        <w:keepNext w:val="0"/>
        <w:spacing w:after="120" w:before="0"/>
      </w:pPr>
      <w:r>
        <w:rPr>
          <w:rFonts w:ascii="Arial" w:hAnsi="Arial" w:cs="Arial" w:eastAsia="Arial Unicode MS"/>
          <w:b w:val="0"/>
          <w:i w:val="0"/>
          <w:color w:val="555555"/>
          <w:sz w:val="20"/>
        </w:rPr>
        <w:t>Suggested lead  Haobo Wang</w:t>
      </w:r>
    </w:p>
    <w:p>
      <w:pPr>
        <w:keepNext w:val="0"/>
        <w:spacing w:after="120" w:before="0"/>
      </w:pPr>
      <w:r>
        <w:rPr>
          <w:rFonts w:ascii="Arial" w:hAnsi="Arial" w:cs="Arial" w:eastAsia="Arial Unicode MS"/>
          <w:b w:val="0"/>
          <w:i w:val="0"/>
          <w:color w:val="000000"/>
          <w:sz w:val="21"/>
        </w:rPr>
        <w:t>Use when asked about prompt injection or privacy. Separate model capability from API authorisation. The model has no shell or patient-search tool. Authentication, ownership, sharing state and revisions are checked by the application. Describe the exact attack cases and outcomes from the recorded tests. Two live extraction examples do not establish general jailbreak resistance. Withdrawing access cannot retract copies already downloaded.</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按模型能力、后端权限、已测案例、仍有限制四部分回答。</w:t>
      </w:r>
    </w:p>
    <w:p>
      <w:pPr>
        <w:pStyle w:val="Heading1"/>
        <w:pageBreakBefore/>
        <w:spacing w:before="0"/>
      </w:pPr>
      <w:r>
        <w:rPr>
          <w:rFonts w:ascii="Arial" w:hAnsi="Arial" w:cs="Arial" w:eastAsia="Arial Unicode MS"/>
          <w:b/>
          <w:i w:val="0"/>
          <w:color w:val="000000"/>
          <w:sz w:val="42"/>
        </w:rPr>
        <w:t>Backup notes for cases and sources</w:t>
      </w:r>
    </w:p>
    <w:p>
      <w:pPr>
        <w:pStyle w:val="Heading2"/>
        <w:spacing w:before="220"/>
      </w:pPr>
      <w:r>
        <w:rPr>
          <w:rFonts w:ascii="Arial" w:hAnsi="Arial" w:cs="Arial" w:eastAsia="Arial Unicode MS"/>
          <w:b/>
          <w:i w:val="0"/>
          <w:color w:val="000000"/>
          <w:sz w:val="27"/>
        </w:rPr>
        <w:t>Slide 15  Demo cases</w:t>
      </w:r>
    </w:p>
    <w:p>
      <w:pPr>
        <w:keepNext w:val="0"/>
        <w:spacing w:after="120" w:before="0"/>
      </w:pPr>
      <w:r>
        <w:rPr>
          <w:rFonts w:ascii="Arial" w:hAnsi="Arial" w:cs="Arial" w:eastAsia="Arial Unicode MS"/>
          <w:b w:val="0"/>
          <w:i w:val="0"/>
          <w:color w:val="555555"/>
          <w:sz w:val="20"/>
        </w:rPr>
        <w:t>Suggested lead  Hengyu Wang</w:t>
      </w:r>
    </w:p>
    <w:p>
      <w:pPr>
        <w:keepNext w:val="0"/>
        <w:spacing w:after="120" w:before="0"/>
      </w:pPr>
      <w:r>
        <w:rPr>
          <w:rFonts w:ascii="Arial" w:hAnsi="Arial" w:cs="Arial" w:eastAsia="Arial Unicode MS"/>
          <w:b w:val="0"/>
          <w:i w:val="0"/>
          <w:color w:val="000000"/>
          <w:sz w:val="21"/>
        </w:rPr>
        <w:t>TC01 follows fictional knee symptoms through multiple body locations, timing, uncertainty and controlled sharing. TC02 discusses home blood-pressure readings and an uploaded table without imposing unrelated symptom questions. Point to test-data/cases.json, answers.csv and negative-cases.csv for repeatable inputs. Use the isolated fixture database and documented checks. Compare recorded outcomes, not planned expectations. Live-model measurements are separate from deterministic screenshot content.</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先说两个病例分别验证什么，再展示可复现材料与结果；截图中AI文字为受控内容。测试通过不是临床有效。</w:t>
      </w:r>
    </w:p>
    <w:p>
      <w:pPr>
        <w:pStyle w:val="Heading2"/>
        <w:spacing w:before="220"/>
      </w:pPr>
      <w:r>
        <w:rPr>
          <w:rFonts w:ascii="Arial" w:hAnsi="Arial" w:cs="Arial" w:eastAsia="Arial Unicode MS"/>
          <w:b/>
          <w:i w:val="0"/>
          <w:color w:val="000000"/>
          <w:sz w:val="27"/>
        </w:rPr>
        <w:t>Slide 16  Sources and presentation roles</w:t>
      </w:r>
    </w:p>
    <w:p>
      <w:pPr>
        <w:keepNext w:val="0"/>
        <w:spacing w:after="120" w:before="0"/>
      </w:pPr>
      <w:r>
        <w:rPr>
          <w:rFonts w:ascii="Arial" w:hAnsi="Arial" w:cs="Arial" w:eastAsia="Arial Unicode MS"/>
          <w:b w:val="0"/>
          <w:i w:val="0"/>
          <w:color w:val="555555"/>
          <w:sz w:val="20"/>
        </w:rPr>
        <w:t>Suggested lead  Heeran Shin</w:t>
      </w:r>
    </w:p>
    <w:p>
      <w:pPr>
        <w:keepNext w:val="0"/>
        <w:spacing w:after="120" w:before="0"/>
      </w:pPr>
      <w:r>
        <w:rPr>
          <w:rFonts w:ascii="Arial" w:hAnsi="Arial" w:cs="Arial" w:eastAsia="Arial Unicode MS"/>
          <w:b w:val="0"/>
          <w:i w:val="0"/>
          <w:color w:val="000000"/>
          <w:sz w:val="21"/>
        </w:rPr>
        <w:t>AHRQ supports the preparation framing; Ada is an example of symptom assessment; the University of Maryland source shows an OLD CARTS variant. Code and test evidence support implementation claims, not clinical effectiveness. The speaking order is Heeran, Guopeng, Robin, Haobo and Hengyu. These presentation responsibilities do not replace the implementation contribution record. Registration verifies email ownership, not medical licensure. Return to slide 11 for the limited latency comparison.</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按一手来源说明背景依据；演讲角色不等于代码贡献分工。医疗资质、临床效果和模型性能都不能超出证据范围。</w:t>
      </w:r>
    </w:p>
    <w:p>
      <w:pPr>
        <w:pStyle w:val="Heading1"/>
        <w:pageBreakBefore/>
        <w:spacing w:before="0"/>
      </w:pPr>
      <w:r>
        <w:rPr>
          <w:rFonts w:ascii="Arial" w:hAnsi="Arial" w:cs="Arial" w:eastAsia="Arial Unicode MS"/>
          <w:b/>
          <w:i w:val="0"/>
          <w:color w:val="000000"/>
          <w:sz w:val="42"/>
        </w:rPr>
        <w:t>Evidence and rehearsal checks</w:t>
      </w:r>
    </w:p>
    <w:p>
      <w:pPr>
        <w:keepNext w:val="0"/>
        <w:spacing w:after="300" w:before="0"/>
      </w:pPr>
      <w:r>
        <w:rPr>
          <w:rFonts w:ascii="Arial" w:hAnsi="Arial" w:cs="Arial" w:eastAsia="Arial Unicode MS"/>
          <w:b w:val="0"/>
          <w:i w:val="0"/>
          <w:color w:val="000000"/>
          <w:sz w:val="23"/>
        </w:rPr>
        <w:t>Keep these files with the final presentation. Reported test counts come from executed runs; case expectations alone are not test results.</w:t>
      </w:r>
    </w:p>
    <w:tbl>
      <w:tblPr>
        <w:tblW w:type="auto" w:w="0"/>
        <w:jc w:val="center"/>
        <w:tblLayout w:type="fixed"/>
        <w:tblLook w:firstColumn="1" w:firstRow="1" w:lastColumn="0" w:lastRow="0" w:noHBand="0" w:noVBand="1" w:val="04A0"/>
      </w:tblPr>
      <w:tblGrid>
        <w:gridCol w:w="3816"/>
        <w:gridCol w:w="5472"/>
      </w:tblGrid>
      <w:tr>
        <w:trPr>
          <w:tblHeader/>
        </w:trPr>
        <w:tc>
          <w:tcPr>
            <w:tcW w:type="dxa" w:w="381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333333"/>
          </w:tcPr>
          <w:p>
            <w:pPr>
              <w:spacing w:after="0" w:line="276" w:lineRule="auto"/>
            </w:pPr>
            <w:r>
              <w:rPr>
                <w:rFonts w:ascii="Arial" w:hAnsi="Arial" w:cs="Arial" w:eastAsia="Arial Unicode MS"/>
                <w:b/>
                <w:i w:val="0"/>
                <w:color w:val="FFFFFF"/>
                <w:sz w:val="21"/>
              </w:rPr>
              <w:t>Evidence</w:t>
            </w:r>
          </w:p>
        </w:tc>
        <w:tc>
          <w:tcPr>
            <w:tcW w:type="dxa" w:w="5472"/>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333333"/>
          </w:tcPr>
          <w:p>
            <w:pPr>
              <w:spacing w:after="0" w:line="276" w:lineRule="auto"/>
              <w:jc w:val="center"/>
            </w:pPr>
            <w:r>
              <w:rPr>
                <w:rFonts w:ascii="Arial" w:hAnsi="Arial" w:cs="Arial" w:eastAsia="Arial Unicode MS"/>
                <w:b/>
                <w:i w:val="0"/>
                <w:color w:val="FFFFFF"/>
                <w:sz w:val="21"/>
              </w:rPr>
              <w:t>Use in the presentation</w:t>
            </w:r>
          </w:p>
        </w:tc>
      </w:tr>
      <w:tr>
        <w:tc>
          <w:tcPr>
            <w:tcW w:type="dxa" w:w="381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pPr>
            <w:r>
              <w:rPr>
                <w:rFonts w:ascii="Arial" w:hAnsi="Arial" w:cs="Arial" w:eastAsia="Arial Unicode MS"/>
                <w:b w:val="0"/>
                <w:i w:val="0"/>
                <w:color w:val="000000"/>
                <w:sz w:val="21"/>
              </w:rPr>
              <w:t>evidence/backend-regression.log and XML</w:t>
            </w:r>
          </w:p>
        </w:tc>
        <w:tc>
          <w:tcPr>
            <w:tcW w:type="dxa" w:w="5472"/>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center"/>
            </w:pPr>
            <w:r>
              <w:rPr>
                <w:rFonts w:ascii="Arial" w:hAnsi="Arial" w:cs="Arial" w:eastAsia="Arial Unicode MS"/>
                <w:b w:val="0"/>
                <w:i w:val="0"/>
                <w:color w:val="000000"/>
                <w:sz w:val="21"/>
              </w:rPr>
              <w:t>748 backend product tests passed. The 266 security checks are included in that total.</w:t>
            </w:r>
          </w:p>
        </w:tc>
      </w:tr>
      <w:tr>
        <w:tc>
          <w:tcPr>
            <w:tcW w:type="dxa" w:w="381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pPr>
            <w:r>
              <w:rPr>
                <w:rFonts w:ascii="Arial" w:hAnsi="Arial" w:cs="Arial" w:eastAsia="Arial Unicode MS"/>
                <w:b w:val="0"/>
                <w:i w:val="0"/>
                <w:color w:val="000000"/>
                <w:sz w:val="21"/>
              </w:rPr>
              <w:t>evidence/ui-polish-checks.json and browser-report.json</w:t>
            </w:r>
          </w:p>
        </w:tc>
        <w:tc>
          <w:tcPr>
            <w:tcW w:type="dxa" w:w="5472"/>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center"/>
            </w:pPr>
            <w:r>
              <w:rPr>
                <w:rFonts w:ascii="Arial" w:hAnsi="Arial" w:cs="Arial" w:eastAsia="Arial Unicode MS"/>
                <w:b w:val="0"/>
                <w:i w:val="0"/>
                <w:color w:val="000000"/>
                <w:sz w:val="21"/>
              </w:rPr>
              <w:t>107 frontend unit tests, 15 final browser checks and five accessibility scans passed; 21 screenshots were captured.</w:t>
            </w:r>
          </w:p>
        </w:tc>
      </w:tr>
      <w:tr>
        <w:tc>
          <w:tcPr>
            <w:tcW w:type="dxa" w:w="381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pPr>
            <w:r>
              <w:rPr>
                <w:rFonts w:ascii="Arial" w:hAnsi="Arial" w:cs="Arial" w:eastAsia="Arial Unicode MS"/>
                <w:b w:val="0"/>
                <w:i w:val="0"/>
                <w:color w:val="000000"/>
                <w:sz w:val="21"/>
              </w:rPr>
              <w:t>evidence/live-model.json</w:t>
            </w:r>
          </w:p>
        </w:tc>
        <w:tc>
          <w:tcPr>
            <w:tcW w:type="dxa" w:w="5472"/>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center"/>
            </w:pPr>
            <w:r>
              <w:rPr>
                <w:rFonts w:ascii="Arial" w:hAnsi="Arial" w:cs="Arial" w:eastAsia="Arial Unicode MS"/>
                <w:b w:val="0"/>
                <w:i w:val="0"/>
                <w:color w:val="000000"/>
                <w:sz w:val="21"/>
              </w:rPr>
              <w:t>Eight live calls: three paired extraction narratives per model, plus two Sol injection examples. Synthetic input only.</w:t>
            </w:r>
          </w:p>
        </w:tc>
      </w:tr>
      <w:tr>
        <w:tc>
          <w:tcPr>
            <w:tcW w:type="dxa" w:w="381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pPr>
            <w:r>
              <w:rPr>
                <w:rFonts w:ascii="Arial" w:hAnsi="Arial" w:cs="Arial" w:eastAsia="Arial Unicode MS"/>
                <w:b w:val="0"/>
                <w:i w:val="0"/>
                <w:color w:val="000000"/>
                <w:sz w:val="21"/>
              </w:rPr>
              <w:t>test-data/cases.json and answers.csv</w:t>
            </w:r>
          </w:p>
        </w:tc>
        <w:tc>
          <w:tcPr>
            <w:tcW w:type="dxa" w:w="5472"/>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center"/>
            </w:pPr>
            <w:r>
              <w:rPr>
                <w:rFonts w:ascii="Arial" w:hAnsi="Arial" w:cs="Arial" w:eastAsia="Arial Unicode MS"/>
                <w:b w:val="0"/>
                <w:i w:val="0"/>
                <w:color w:val="000000"/>
                <w:sz w:val="21"/>
              </w:rPr>
              <w:t>Detailed TC01 and TC02 field values for repeatable demonstration.</w:t>
            </w:r>
          </w:p>
        </w:tc>
      </w:tr>
      <w:tr>
        <w:tc>
          <w:tcPr>
            <w:tcW w:type="dxa" w:w="381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pPr>
            <w:r>
              <w:rPr>
                <w:rFonts w:ascii="Arial" w:hAnsi="Arial" w:cs="Arial" w:eastAsia="Arial Unicode MS"/>
                <w:b w:val="0"/>
                <w:i w:val="0"/>
                <w:color w:val="000000"/>
                <w:sz w:val="21"/>
              </w:rPr>
              <w:t>test-data/negative-cases.csv</w:t>
            </w:r>
          </w:p>
        </w:tc>
        <w:tc>
          <w:tcPr>
            <w:tcW w:type="dxa" w:w="5472"/>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FFFFF"/>
          </w:tcPr>
          <w:p>
            <w:pPr>
              <w:spacing w:after="0" w:line="276" w:lineRule="auto"/>
              <w:jc w:val="center"/>
            </w:pPr>
            <w:r>
              <w:rPr>
                <w:rFonts w:ascii="Arial" w:hAnsi="Arial" w:cs="Arial" w:eastAsia="Arial Unicode MS"/>
                <w:b w:val="0"/>
                <w:i w:val="0"/>
                <w:color w:val="000000"/>
                <w:sz w:val="21"/>
              </w:rPr>
              <w:t>Planned negative scenarios; use recorded execution evidence to state outcomes.</w:t>
            </w:r>
          </w:p>
        </w:tc>
      </w:tr>
      <w:tr>
        <w:tc>
          <w:tcPr>
            <w:tcW w:type="dxa" w:w="3816"/>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pPr>
            <w:r>
              <w:rPr>
                <w:rFonts w:ascii="Arial" w:hAnsi="Arial" w:cs="Arial" w:eastAsia="Arial Unicode MS"/>
                <w:b w:val="0"/>
                <w:i w:val="0"/>
                <w:color w:val="000000"/>
                <w:sz w:val="21"/>
              </w:rPr>
              <w:t>talk-track.json</w:t>
            </w:r>
          </w:p>
        </w:tc>
        <w:tc>
          <w:tcPr>
            <w:tcW w:type="dxa" w:w="5472"/>
            <w:vAlign w:val="center"/>
            <w:tcMar>
              <w:top w:w="110" w:type="dxa"/>
              <w:left w:w="110" w:type="dxa"/>
              <w:bottom w:w="110" w:type="dxa"/>
              <w:right w:w="110" w:type="dxa"/>
            </w:tcMar>
            <w:tcBorders>
              <w:top w:val="single" w:sz="4" w:color="D9D9D9"/>
              <w:left w:val="single" w:sz="4" w:color="D9D9D9"/>
              <w:bottom w:val="single" w:sz="4" w:color="D9D9D9"/>
              <w:right w:val="single" w:sz="4" w:color="D9D9D9"/>
            </w:tcBorders>
            <w:shd w:fill="F6F6F6"/>
          </w:tcPr>
          <w:p>
            <w:pPr>
              <w:spacing w:after="0" w:line="276" w:lineRule="auto"/>
              <w:jc w:val="center"/>
            </w:pPr>
            <w:r>
              <w:rPr>
                <w:rFonts w:ascii="Arial" w:hAnsi="Arial" w:cs="Arial" w:eastAsia="Arial Unicode MS"/>
                <w:b w:val="0"/>
                <w:i w:val="0"/>
                <w:color w:val="000000"/>
                <w:sz w:val="21"/>
              </w:rPr>
              <w:t>Slide timing, English scripts, Chinese rehearsal cues, handoffs and source references.</w:t>
            </w:r>
          </w:p>
        </w:tc>
      </w:tr>
    </w:tbl>
    <w:p>
      <w:pPr>
        <w:pStyle w:val="Heading2"/>
        <w:spacing w:before="220"/>
      </w:pPr>
      <w:r>
        <w:rPr>
          <w:rFonts w:ascii="Arial" w:hAnsi="Arial" w:cs="Arial" w:eastAsia="Arial Unicode MS"/>
          <w:b/>
          <w:i w:val="0"/>
          <w:color w:val="000000"/>
          <w:sz w:val="27"/>
        </w:rPr>
        <w:t>Facts to keep consistent</w:t>
      </w:r>
    </w:p>
    <w:p>
      <w:pPr>
        <w:keepNext w:val="0"/>
        <w:spacing w:after="160" w:before="0"/>
      </w:pPr>
      <w:r>
        <w:rPr>
          <w:rFonts w:ascii="Arial" w:hAnsi="Arial" w:cs="Arial" w:eastAsia="Arial Unicode MS"/>
          <w:b w:val="0"/>
          <w:i w:val="0"/>
          <w:color w:val="000000"/>
          <w:sz w:val="22"/>
        </w:rPr>
        <w:t>New preparations default to GPT-6 Sol. Extraction uses low reasoning effort and final reports use medium. The live extraction median was 7.677 seconds for Sol and 13.053 seconds for Astra across three paired inputs. Different reasoning settings and fixed request order limit this comparison; it is not an end-to-end guarantee.</w:t>
      </w:r>
    </w:p>
    <w:p>
      <w:pPr>
        <w:keepNext w:val="0"/>
        <w:spacing w:after="160" w:before="0"/>
      </w:pPr>
      <w:r>
        <w:rPr>
          <w:rFonts w:ascii="Arial" w:hAnsi="Arial" w:cs="Arial" w:eastAsia="Arial Unicode MS"/>
          <w:b w:val="0"/>
          <w:i w:val="0"/>
          <w:color w:val="000000"/>
          <w:sz w:val="22"/>
        </w:rPr>
        <w:t>The two live injection examples had no connected patient database or execution tools. API authorisation tests address access to other records separately. Neither establishes clinical accuracy or complete resistance to every adversarial prompt.</w:t>
      </w:r>
    </w:p>
    <w:p>
      <w:pPr>
        <w:keepNext w:val="0"/>
        <w:spacing w:after="160" w:before="0"/>
      </w:pPr>
      <w:r>
        <w:rPr>
          <w:rFonts w:ascii="Arial" w:hAnsi="Arial" w:cs="Arial" w:eastAsia="Arial Unicode MS"/>
          <w:b w:val="0"/>
          <w:i w:val="0"/>
          <w:color w:val="000000"/>
          <w:sz w:val="22"/>
        </w:rPr>
        <w:t>Registration verifies email ownership, not medical licensure. The current doctor account role is not a credential-verification service.</w:t>
      </w:r>
    </w:p>
    <w:p>
      <w:pPr>
        <w:keepNext w:val="0"/>
        <w:spacing w:after="160" w:before="0"/>
      </w:pPr>
      <w:r>
        <w:rPr>
          <w:rFonts w:ascii="Arial" w:hAnsi="Arial" w:cs="Arial" w:eastAsia="Arial Unicode MS"/>
          <w:b w:val="0"/>
          <w:i w:val="0"/>
          <w:color w:val="000000"/>
          <w:sz w:val="22"/>
        </w:rPr>
        <w:t>Use these registered names consistently: Heeran Shin, Guopeng Tan, Robin Kim, Haobo Wang and Hengyu Wang. The speaking order is not an allocation of implementation credit.</w:t>
      </w:r>
    </w:p>
    <w:p>
      <w:pPr>
        <w:spacing w:after="160" w:line="276" w:lineRule="auto"/>
      </w:pPr>
      <w:r>
        <w:rPr>
          <w:rFonts w:ascii="Arial" w:hAnsi="Arial" w:cs="Arial" w:eastAsia="Arial Unicode MS"/>
          <w:b/>
          <w:i w:val="0"/>
          <w:color w:val="000000"/>
          <w:sz w:val="21"/>
        </w:rPr>
        <w:t xml:space="preserve">排练提示  </w:t>
      </w:r>
      <w:r>
        <w:rPr>
          <w:rFonts w:ascii="Arial" w:hAnsi="Arial" w:cs="Arial" w:eastAsia="Arial Unicode MS"/>
          <w:b w:val="0"/>
          <w:i w:val="0"/>
          <w:color w:val="444444"/>
          <w:sz w:val="21"/>
        </w:rPr>
        <w:t>不要把266项安全测试与748项后端测试相加；不要把3个时延样本说成大量用户研究；不要把截图中的受控AI内容说成临床验证。</w:t>
      </w:r>
    </w:p>
    <w:p>
      <w:pPr>
        <w:pStyle w:val="Heading1"/>
        <w:pageBreakBefore/>
        <w:spacing w:before="0"/>
      </w:pPr>
      <w:r>
        <w:rPr>
          <w:rFonts w:ascii="Arial" w:hAnsi="Arial" w:cs="Arial" w:eastAsia="Arial Unicode MS"/>
          <w:b/>
          <w:i w:val="0"/>
          <w:color w:val="000000"/>
          <w:sz w:val="42"/>
        </w:rPr>
        <w:t>Alignment with the shared report</w:t>
      </w:r>
    </w:p>
    <w:p>
      <w:pPr>
        <w:keepNext w:val="0"/>
        <w:spacing w:after="300" w:before="0"/>
      </w:pPr>
      <w:r>
        <w:rPr>
          <w:rFonts w:ascii="Arial" w:hAnsi="Arial" w:cs="Arial" w:eastAsia="Arial Unicode MS"/>
          <w:b w:val="0"/>
          <w:i w:val="0"/>
          <w:color w:val="000000"/>
          <w:sz w:val="23"/>
        </w:rPr>
        <w:t>The shared report snapshot from 28 October 2026 remains a working document. Use its architecture and design rationale, then describe the current implementation and executed evidence accurately.</w:t>
      </w:r>
    </w:p>
    <w:p>
      <w:pPr>
        <w:pStyle w:val="Heading2"/>
        <w:spacing w:before="220"/>
      </w:pPr>
      <w:r>
        <w:rPr>
          <w:rFonts w:ascii="Arial" w:hAnsi="Arial" w:cs="Arial" w:eastAsia="Arial Unicode MS"/>
          <w:b/>
          <w:i w:val="0"/>
          <w:color w:val="000000"/>
          <w:sz w:val="27"/>
        </w:rPr>
        <w:t>Design points carried into the presentation</w:t>
      </w:r>
    </w:p>
    <w:p>
      <w:pPr>
        <w:keepNext w:val="0"/>
        <w:pageBreakBefore w:val="0"/>
        <w:spacing w:after="160" w:before="0"/>
      </w:pPr>
      <w:r>
        <w:rPr>
          <w:rFonts w:ascii="Arial" w:hAnsi="Arial" w:cs="Arial" w:eastAsia="Arial Unicode MS"/>
          <w:b w:val="0"/>
          <w:i w:val="0"/>
          <w:color w:val="000000"/>
          <w:sz w:val="22"/>
        </w:rPr>
        <w:t>The AI proposes structured candidates. The backend validates them before updating draft state. Evidence references and correction history keep changes inspectable. Patient approval applies to a specific summary version and recipient.</w:t>
      </w:r>
    </w:p>
    <w:p>
      <w:pPr>
        <w:pStyle w:val="Heading2"/>
        <w:spacing w:before="220"/>
      </w:pPr>
      <w:r>
        <w:rPr>
          <w:rFonts w:ascii="Arial" w:hAnsi="Arial" w:cs="Arial" w:eastAsia="Arial Unicode MS"/>
          <w:b/>
          <w:i w:val="0"/>
          <w:color w:val="000000"/>
          <w:sz w:val="27"/>
        </w:rPr>
        <w:t>Current build takes precedence over older wording</w:t>
      </w:r>
    </w:p>
    <w:p>
      <w:pPr>
        <w:keepNext w:val="0"/>
        <w:pageBreakBefore w:val="0"/>
        <w:spacing w:after="160" w:before="0"/>
      </w:pPr>
      <w:r>
        <w:rPr>
          <w:rFonts w:ascii="Arial" w:hAnsi="Arial" w:cs="Arial" w:eastAsia="Arial Unicode MS"/>
          <w:b w:val="0"/>
          <w:i w:val="0"/>
          <w:color w:val="000000"/>
          <w:sz w:val="22"/>
        </w:rPr>
        <w:t>The current interface is a wizard with one question per step. AI follow-up normally contains at most five questions. Patient text and reports support five languages. Sharing uses a selected registered doctor account. Do not repeat the report’s older grouped-form, six-question, two-language or doctor-allowlist descriptions.</w:t>
      </w:r>
    </w:p>
    <w:p>
      <w:pPr>
        <w:pStyle w:val="Heading2"/>
        <w:spacing w:before="220"/>
      </w:pPr>
      <w:r>
        <w:rPr>
          <w:rFonts w:ascii="Arial" w:hAnsi="Arial" w:cs="Arial" w:eastAsia="Arial Unicode MS"/>
          <w:b/>
          <w:i w:val="0"/>
          <w:color w:val="000000"/>
          <w:sz w:val="27"/>
        </w:rPr>
        <w:t>Results that remain unmeasured</w:t>
      </w:r>
    </w:p>
    <w:p>
      <w:pPr>
        <w:keepNext w:val="0"/>
        <w:pageBreakBefore w:val="0"/>
        <w:spacing w:after="160" w:before="0"/>
      </w:pPr>
      <w:r>
        <w:rPr>
          <w:rFonts w:ascii="Arial" w:hAnsi="Arial" w:cs="Arial" w:eastAsia="Arial Unicode MS"/>
          <w:b w:val="0"/>
          <w:i w:val="0"/>
          <w:color w:val="000000"/>
          <w:sz w:val="22"/>
        </w:rPr>
        <w:t>The shared report leaves GenAI quality metrics, a baseline comparison and ablations unfinished. The presentation uses the recorded engineering tests and small live-call study without turning them into clinical accuracy results. Heeran owns the GenAI evaluation work; integrate new results only after checking the dataset, method and output.</w:t>
      </w:r>
    </w:p>
    <w:p>
      <w:pPr>
        <w:pStyle w:val="Heading2"/>
        <w:spacing w:before="220"/>
      </w:pPr>
      <w:r>
        <w:rPr>
          <w:rFonts w:ascii="Arial" w:hAnsi="Arial" w:cs="Arial" w:eastAsia="Arial Unicode MS"/>
          <w:b/>
          <w:i w:val="0"/>
          <w:color w:val="000000"/>
          <w:sz w:val="27"/>
        </w:rPr>
        <w:t>Short answers about state and reliability</w:t>
      </w:r>
    </w:p>
    <w:p>
      <w:pPr>
        <w:keepNext w:val="0"/>
        <w:spacing w:after="160" w:before="0"/>
      </w:pPr>
      <w:r>
        <w:rPr>
          <w:rFonts w:ascii="Arial" w:hAnsi="Arial" w:cs="Arial" w:eastAsia="Arial Unicode MS"/>
          <w:b w:val="0"/>
          <w:i w:val="0"/>
          <w:color w:val="000000"/>
          <w:sz w:val="22"/>
        </w:rPr>
        <w:t>Coverage records supplied facts. Resolution also includes an uncertain or declined answer, allowing the interview to stop without repeating it. Unknown, skipped and missing states stay distinct. A correction keeps history, and an unresolved contradiction remains uncertain. If AI is unavailable, saved answers and structured notes remain available, with an explicit error or manual path.</w:t>
      </w:r>
    </w:p>
    <w:p>
      <w:pPr>
        <w:pStyle w:val="Heading2"/>
        <w:spacing w:before="220"/>
      </w:pPr>
      <w:r>
        <w:rPr>
          <w:rFonts w:ascii="Arial" w:hAnsi="Arial" w:cs="Arial" w:eastAsia="Arial Unicode MS"/>
          <w:b/>
          <w:i w:val="0"/>
          <w:color w:val="000000"/>
          <w:sz w:val="27"/>
        </w:rPr>
        <w:t>Boundaries everyone should be able to explain</w:t>
      </w:r>
    </w:p>
    <w:p>
      <w:pPr>
        <w:keepNext w:val="0"/>
        <w:pageBreakBefore w:val="0"/>
        <w:spacing w:after="160" w:before="0"/>
      </w:pPr>
      <w:r>
        <w:rPr>
          <w:rFonts w:ascii="Arial" w:hAnsi="Arial" w:cs="Arial" w:eastAsia="Arial Unicode MS"/>
          <w:b w:val="0"/>
          <w:i w:val="0"/>
          <w:color w:val="000000"/>
          <w:sz w:val="22"/>
        </w:rPr>
        <w:t>Structural source checks do not prove semantic faithfulness. Doctor registration verifies email ownership, not medical licensure. A withdrawal blocks future server access but cannot recall downloaded copies. Do not claim tutor approval of extensions. The prototype still needs clinical review and a deployment and data-governance assessment.</w:t>
      </w:r>
    </w:p>
    <w:sectPr w:rsidR="00FC693F" w:rsidRPr="0006063C" w:rsidSect="00034616">
      <w:footerReference w:type="default" r:id="rId9"/>
      <w:pgSz w:w="11909" w:h="16834"/>
      <w:pgMar w:top="1037" w:right="1094" w:bottom="1008"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eastAsia="Arial Unicode MS"/>
        <w:b w:val="0"/>
        <w:i w:val="0"/>
        <w:color w:val="666666"/>
        <w:sz w:val="18"/>
      </w:rPr>
      <w:t xml:space="preserve">PreConsult speaker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80" w:line="278" w:lineRule="auto"/>
    </w:pPr>
    <w:rPr>
      <w:rFonts w:ascii="Arial" w:hAnsi="Arial" w:eastAsia="Arial Unicode MS"/>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40" w:line="278" w:lineRule="auto"/>
      <w:outlineLvl w:val="0"/>
    </w:pPr>
    <w:rPr>
      <w:rFonts w:ascii="Arial" w:hAnsi="Arial" w:eastAsia="Arial Unicode MS"/>
      <w:b/>
      <w:bCs/>
      <w:color w:val="000000"/>
      <w:sz w:val="42"/>
      <w:szCs w:val="28"/>
    </w:rPr>
  </w:style>
  <w:style w:type="paragraph" w:styleId="Heading2">
    <w:name w:val="heading 2"/>
    <w:basedOn w:val="Normal"/>
    <w:next w:val="Normal"/>
    <w:link w:val="Heading2Char"/>
    <w:uiPriority w:val="9"/>
    <w:unhideWhenUsed/>
    <w:qFormat/>
    <w:rsid w:val="00FC693F"/>
    <w:pPr>
      <w:keepNext/>
      <w:keepLines/>
      <w:widowControl/>
      <w:spacing w:before="200" w:after="240" w:line="278" w:lineRule="auto"/>
      <w:outlineLvl w:val="1"/>
    </w:pPr>
    <w:rPr>
      <w:rFonts w:ascii="Arial" w:hAnsi="Arial" w:eastAsia="Arial Unicode MS"/>
      <w:b/>
      <w:bCs/>
      <w:color w:val="000000"/>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240" w:line="278" w:lineRule="auto"/>
      <w:outlineLvl w:val="2"/>
    </w:pPr>
    <w:rPr>
      <w:rFonts w:ascii="Arial" w:hAnsi="Arial"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78" w:lineRule="auto"/>
      <w:contextualSpacing/>
    </w:pPr>
    <w:rPr>
      <w:rFonts w:ascii="Arial" w:hAnsi="Arial" w:eastAsia="Arial Unicode M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40" w:line="278" w:lineRule="auto"/>
    </w:pPr>
    <w:rPr>
      <w:rFonts w:ascii="Arial" w:hAnsi="Arial" w:eastAsia="Arial Unicode M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PreConsult Final Presentation Speaker Guide</dc:title>
  <dc:subject>Eight minute group presentation and question preparation</dc:subject>
  <dc:creator>ELEC5623 Group 9</dc:creator>
  <cp:keywords>PreConsult, presentation, speaker guide, synthetic evaluation</cp:keywords>
  <dc:description>Revised 28 October 2026 using the shared Group 9 report and current implementation evidence. Draft report claims were reconciled before use.</dc:description>
  <cp:lastModifiedBy/>
  <cp:revision>1</cp:revision>
  <dcterms:created xsi:type="dcterms:W3CDTF">2013-12-23T23:15:00Z</dcterms:created>
  <dcterms:modified xsi:type="dcterms:W3CDTF">2013-12-23T23:15:00Z</dcterms:modified>
  <cp:category/>
</cp:coreProperties>
</file>