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cs="Arial" w:eastAsia="Arial Unicode MS"/>
          <w:b/>
          <w:i w:val="0"/>
          <w:color w:val="000000"/>
          <w:sz w:val="56"/>
        </w:rPr>
        <w:t>PreConsult Final Presentation</w:t>
        <w:br/>
        <w:t>Speaker Guide</w:t>
      </w:r>
    </w:p>
    <w:p>
      <w:pPr>
        <w:keepNext w:val="0"/>
        <w:spacing w:after="360" w:before="0"/>
      </w:pPr>
      <w:r>
        <w:rPr>
          <w:rFonts w:ascii="Arial" w:hAnsi="Arial" w:cs="Arial" w:eastAsia="Arial Unicode MS"/>
          <w:b w:val="0"/>
          <w:i w:val="0"/>
          <w:color w:val="444444"/>
          <w:sz w:val="24"/>
        </w:rPr>
        <w:t>ELEC5623 Group 9  |  4 November 2026</w:t>
      </w:r>
    </w:p>
    <w:p>
      <w:pPr>
        <w:keepNext w:val="0"/>
        <w:spacing w:after="300" w:before="0"/>
      </w:pPr>
      <w:r>
        <w:rPr>
          <w:rFonts w:ascii="Arial" w:hAnsi="Arial" w:cs="Arial" w:eastAsia="Arial Unicode MS"/>
          <w:b w:val="0"/>
          <w:i w:val="0"/>
          <w:color w:val="000000"/>
          <w:sz w:val="23"/>
        </w:rPr>
        <w:t>Use this pack to rehearse the eight-minute presentation and prepare for the two-minute group question period. The speaking order is fixed. English scripts are written to be spoken; Chinese notes are rehearsal cues and are not read aloud.</w:t>
      </w:r>
    </w:p>
    <w:p>
      <w:pPr>
        <w:pStyle w:val="Heading2"/>
        <w:spacing w:before="220"/>
      </w:pPr>
      <w:r>
        <w:rPr>
          <w:rFonts w:ascii="Arial" w:hAnsi="Arial" w:cs="Arial" w:eastAsia="Arial Unicode MS"/>
          <w:b/>
          <w:i w:val="0"/>
          <w:color w:val="000000"/>
          <w:sz w:val="27"/>
        </w:rPr>
        <w:t>Speaking order and timing</w:t>
      </w:r>
    </w:p>
    <w:tbl>
      <w:tblPr>
        <w:tblW w:type="auto" w:w="0"/>
        <w:jc w:val="center"/>
        <w:tblLayout w:type="fixed"/>
        <w:tblLook w:firstColumn="1" w:firstRow="1" w:lastColumn="0" w:lastRow="0" w:noHBand="0" w:noVBand="1" w:val="04A0"/>
      </w:tblPr>
      <w:tblGrid>
        <w:gridCol w:w="2088"/>
        <w:gridCol w:w="1008"/>
        <w:gridCol w:w="936"/>
        <w:gridCol w:w="5256"/>
      </w:tblGrid>
      <w:tr>
        <w:trPr>
          <w:tblHeader/>
        </w:trPr>
        <w:tc>
          <w:tcPr>
            <w:tcW w:type="dxa" w:w="2088"/>
            <w:vAlign w:val="center"/>
            <w:tcMar>
              <w:top w:w="110" w:type="dxa"/>
              <w:left w:w="110" w:type="dxa"/>
              <w:bottom w:w="110" w:type="dxa"/>
              <w:right w:w="110" w:type="dxa"/>
            </w:tcMar>
            <w:tcBorders>
              <w:top w:val="single" w:sz="4" w:color="D9D9D9"/>
              <w:left w:val="single" w:sz="4" w:color="D9D9D9"/>
              <w:bottom w:val="single" w:sz="4" w:color="D9D9D9"/>
              <w:right w:val="single" w:sz="4" w:color="D9D9D9"/>
            </w:tcBorders>
            <w:shd w:fill="333333"/>
          </w:tcPr>
          <w:p>
            <w:pPr>
              <w:spacing w:after="0" w:line="276" w:lineRule="auto"/>
            </w:pPr>
            <w:r>
              <w:rPr>
                <w:rFonts w:ascii="Arial" w:hAnsi="Arial" w:cs="Arial" w:eastAsia="Arial Unicode MS"/>
                <w:b/>
                <w:i w:val="0"/>
                <w:color w:val="FFFFFF"/>
                <w:sz w:val="21"/>
              </w:rPr>
              <w:t>Presenter</w:t>
            </w:r>
          </w:p>
        </w:tc>
        <w:tc>
          <w:tcPr>
            <w:tcW w:type="dxa" w:w="1008"/>
            <w:vAlign w:val="center"/>
            <w:tcMar>
              <w:top w:w="110" w:type="dxa"/>
              <w:left w:w="110" w:type="dxa"/>
              <w:bottom w:w="110" w:type="dxa"/>
              <w:right w:w="110" w:type="dxa"/>
            </w:tcMar>
            <w:tcBorders>
              <w:top w:val="single" w:sz="4" w:color="D9D9D9"/>
              <w:left w:val="single" w:sz="4" w:color="D9D9D9"/>
              <w:bottom w:val="single" w:sz="4" w:color="D9D9D9"/>
              <w:right w:val="single" w:sz="4" w:color="D9D9D9"/>
            </w:tcBorders>
            <w:shd w:fill="333333"/>
          </w:tcPr>
          <w:p>
            <w:pPr>
              <w:spacing w:after="0" w:line="276" w:lineRule="auto"/>
              <w:jc w:val="center"/>
            </w:pPr>
            <w:r>
              <w:rPr>
                <w:rFonts w:ascii="Arial" w:hAnsi="Arial" w:cs="Arial" w:eastAsia="Arial Unicode MS"/>
                <w:b/>
                <w:i w:val="0"/>
                <w:color w:val="FFFFFF"/>
                <w:sz w:val="21"/>
              </w:rPr>
              <w:t>Slides</w:t>
            </w:r>
          </w:p>
        </w:tc>
        <w:tc>
          <w:tcPr>
            <w:tcW w:type="dxa" w:w="936"/>
            <w:vAlign w:val="center"/>
            <w:tcMar>
              <w:top w:w="110" w:type="dxa"/>
              <w:left w:w="110" w:type="dxa"/>
              <w:bottom w:w="110" w:type="dxa"/>
              <w:right w:w="110" w:type="dxa"/>
            </w:tcMar>
            <w:tcBorders>
              <w:top w:val="single" w:sz="4" w:color="D9D9D9"/>
              <w:left w:val="single" w:sz="4" w:color="D9D9D9"/>
              <w:bottom w:val="single" w:sz="4" w:color="D9D9D9"/>
              <w:right w:val="single" w:sz="4" w:color="D9D9D9"/>
            </w:tcBorders>
            <w:shd w:fill="333333"/>
          </w:tcPr>
          <w:p>
            <w:pPr>
              <w:spacing w:after="0" w:line="276" w:lineRule="auto"/>
              <w:jc w:val="center"/>
            </w:pPr>
            <w:r>
              <w:rPr>
                <w:rFonts w:ascii="Arial" w:hAnsi="Arial" w:cs="Arial" w:eastAsia="Arial Unicode MS"/>
                <w:b/>
                <w:i w:val="0"/>
                <w:color w:val="FFFFFF"/>
                <w:sz w:val="21"/>
              </w:rPr>
              <w:t>Time</w:t>
            </w:r>
          </w:p>
        </w:tc>
        <w:tc>
          <w:tcPr>
            <w:tcW w:type="dxa" w:w="5256"/>
            <w:vAlign w:val="center"/>
            <w:tcMar>
              <w:top w:w="110" w:type="dxa"/>
              <w:left w:w="110" w:type="dxa"/>
              <w:bottom w:w="110" w:type="dxa"/>
              <w:right w:w="110" w:type="dxa"/>
            </w:tcMar>
            <w:tcBorders>
              <w:top w:val="single" w:sz="4" w:color="D9D9D9"/>
              <w:left w:val="single" w:sz="4" w:color="D9D9D9"/>
              <w:bottom w:val="single" w:sz="4" w:color="D9D9D9"/>
              <w:right w:val="single" w:sz="4" w:color="D9D9D9"/>
            </w:tcBorders>
            <w:shd w:fill="333333"/>
          </w:tcPr>
          <w:p>
            <w:pPr>
              <w:spacing w:after="0" w:line="276" w:lineRule="auto"/>
            </w:pPr>
            <w:r>
              <w:rPr>
                <w:rFonts w:ascii="Arial" w:hAnsi="Arial" w:cs="Arial" w:eastAsia="Arial Unicode MS"/>
                <w:b/>
                <w:i w:val="0"/>
                <w:color w:val="FFFFFF"/>
                <w:sz w:val="21"/>
              </w:rPr>
              <w:t>Speaking responsibility</w:t>
            </w:r>
          </w:p>
        </w:tc>
      </w:tr>
      <w:tr>
        <w:tc>
          <w:tcPr>
            <w:tcW w:type="dxa" w:w="2088"/>
            <w:vAlign w:val="center"/>
            <w:tcMar>
              <w:top w:w="110" w:type="dxa"/>
              <w:left w:w="110" w:type="dxa"/>
              <w:bottom w:w="110" w:type="dxa"/>
              <w:right w:w="110" w:type="dxa"/>
            </w:tcMar>
            <w:tcBorders>
              <w:top w:val="single" w:sz="4" w:color="D9D9D9"/>
              <w:left w:val="single" w:sz="4" w:color="D9D9D9"/>
              <w:bottom w:val="single" w:sz="4" w:color="D9D9D9"/>
              <w:right w:val="single" w:sz="4" w:color="D9D9D9"/>
            </w:tcBorders>
            <w:shd w:fill="FFFFFF"/>
          </w:tcPr>
          <w:p>
            <w:pPr>
              <w:spacing w:after="0" w:line="276" w:lineRule="auto"/>
            </w:pPr>
            <w:r>
              <w:rPr>
                <w:rFonts w:ascii="Arial" w:hAnsi="Arial" w:cs="Arial" w:eastAsia="Arial Unicode MS"/>
                <w:b w:val="0"/>
                <w:i w:val="0"/>
                <w:color w:val="000000"/>
                <w:sz w:val="21"/>
              </w:rPr>
              <w:t>Heeran Shin</w:t>
            </w:r>
          </w:p>
        </w:tc>
        <w:tc>
          <w:tcPr>
            <w:tcW w:type="dxa" w:w="1008"/>
            <w:vAlign w:val="center"/>
            <w:tcMar>
              <w:top w:w="110" w:type="dxa"/>
              <w:left w:w="110" w:type="dxa"/>
              <w:bottom w:w="110" w:type="dxa"/>
              <w:right w:w="110" w:type="dxa"/>
            </w:tcMar>
            <w:tcBorders>
              <w:top w:val="single" w:sz="4" w:color="D9D9D9"/>
              <w:left w:val="single" w:sz="4" w:color="D9D9D9"/>
              <w:bottom w:val="single" w:sz="4" w:color="D9D9D9"/>
              <w:right w:val="single" w:sz="4" w:color="D9D9D9"/>
            </w:tcBorders>
            <w:shd w:fill="FFFFFF"/>
          </w:tcPr>
          <w:p>
            <w:pPr>
              <w:spacing w:after="0" w:line="276" w:lineRule="auto"/>
              <w:jc w:val="center"/>
            </w:pPr>
            <w:r>
              <w:rPr>
                <w:rFonts w:ascii="Arial" w:hAnsi="Arial" w:cs="Arial" w:eastAsia="Arial Unicode MS"/>
                <w:b w:val="0"/>
                <w:i w:val="0"/>
                <w:color w:val="000000"/>
                <w:sz w:val="21"/>
              </w:rPr>
              <w:t>1–2</w:t>
            </w:r>
          </w:p>
        </w:tc>
        <w:tc>
          <w:tcPr>
            <w:tcW w:type="dxa" w:w="936"/>
            <w:vAlign w:val="center"/>
            <w:tcMar>
              <w:top w:w="110" w:type="dxa"/>
              <w:left w:w="110" w:type="dxa"/>
              <w:bottom w:w="110" w:type="dxa"/>
              <w:right w:w="110" w:type="dxa"/>
            </w:tcMar>
            <w:tcBorders>
              <w:top w:val="single" w:sz="4" w:color="D9D9D9"/>
              <w:left w:val="single" w:sz="4" w:color="D9D9D9"/>
              <w:bottom w:val="single" w:sz="4" w:color="D9D9D9"/>
              <w:right w:val="single" w:sz="4" w:color="D9D9D9"/>
            </w:tcBorders>
            <w:shd w:fill="FFFFFF"/>
          </w:tcPr>
          <w:p>
            <w:pPr>
              <w:spacing w:after="0" w:line="276" w:lineRule="auto"/>
              <w:jc w:val="center"/>
            </w:pPr>
            <w:r>
              <w:rPr>
                <w:rFonts w:ascii="Arial" w:hAnsi="Arial" w:cs="Arial" w:eastAsia="Arial Unicode MS"/>
                <w:b w:val="0"/>
                <w:i w:val="0"/>
                <w:color w:val="000000"/>
                <w:sz w:val="21"/>
              </w:rPr>
              <w:t>1:30</w:t>
            </w:r>
          </w:p>
        </w:tc>
        <w:tc>
          <w:tcPr>
            <w:tcW w:type="dxa" w:w="5256"/>
            <w:vAlign w:val="center"/>
            <w:tcMar>
              <w:top w:w="110" w:type="dxa"/>
              <w:left w:w="110" w:type="dxa"/>
              <w:bottom w:w="110" w:type="dxa"/>
              <w:right w:w="110" w:type="dxa"/>
            </w:tcMar>
            <w:tcBorders>
              <w:top w:val="single" w:sz="4" w:color="D9D9D9"/>
              <w:left w:val="single" w:sz="4" w:color="D9D9D9"/>
              <w:bottom w:val="single" w:sz="4" w:color="D9D9D9"/>
              <w:right w:val="single" w:sz="4" w:color="D9D9D9"/>
            </w:tcBorders>
            <w:shd w:fill="FFFFFF"/>
          </w:tcPr>
          <w:p>
            <w:pPr>
              <w:spacing w:after="0" w:line="276" w:lineRule="auto"/>
            </w:pPr>
            <w:r>
              <w:rPr>
                <w:rFonts w:ascii="Arial" w:hAnsi="Arial" w:cs="Arial" w:eastAsia="Arial Unicode MS"/>
                <w:b w:val="0"/>
                <w:i w:val="0"/>
                <w:color w:val="000000"/>
                <w:sz w:val="21"/>
              </w:rPr>
              <w:t>Problem, motivation and related work</w:t>
            </w:r>
          </w:p>
        </w:tc>
      </w:tr>
      <w:tr>
        <w:tc>
          <w:tcPr>
            <w:tcW w:type="dxa" w:w="2088"/>
            <w:vAlign w:val="center"/>
            <w:tcMar>
              <w:top w:w="110" w:type="dxa"/>
              <w:left w:w="110" w:type="dxa"/>
              <w:bottom w:w="110" w:type="dxa"/>
              <w:right w:w="110" w:type="dxa"/>
            </w:tcMar>
            <w:tcBorders>
              <w:top w:val="single" w:sz="4" w:color="D9D9D9"/>
              <w:left w:val="single" w:sz="4" w:color="D9D9D9"/>
              <w:bottom w:val="single" w:sz="4" w:color="D9D9D9"/>
              <w:right w:val="single" w:sz="4" w:color="D9D9D9"/>
            </w:tcBorders>
            <w:shd w:fill="F6F6F6"/>
          </w:tcPr>
          <w:p>
            <w:pPr>
              <w:spacing w:after="0" w:line="276" w:lineRule="auto"/>
            </w:pPr>
            <w:r>
              <w:rPr>
                <w:rFonts w:ascii="Arial" w:hAnsi="Arial" w:cs="Arial" w:eastAsia="Arial Unicode MS"/>
                <w:b w:val="0"/>
                <w:i w:val="0"/>
                <w:color w:val="000000"/>
                <w:sz w:val="21"/>
              </w:rPr>
              <w:t>Guopeng Tan</w:t>
            </w:r>
          </w:p>
        </w:tc>
        <w:tc>
          <w:tcPr>
            <w:tcW w:type="dxa" w:w="1008"/>
            <w:vAlign w:val="center"/>
            <w:tcMar>
              <w:top w:w="110" w:type="dxa"/>
              <w:left w:w="110" w:type="dxa"/>
              <w:bottom w:w="110" w:type="dxa"/>
              <w:right w:w="110" w:type="dxa"/>
            </w:tcMar>
            <w:tcBorders>
              <w:top w:val="single" w:sz="4" w:color="D9D9D9"/>
              <w:left w:val="single" w:sz="4" w:color="D9D9D9"/>
              <w:bottom w:val="single" w:sz="4" w:color="D9D9D9"/>
              <w:right w:val="single" w:sz="4" w:color="D9D9D9"/>
            </w:tcBorders>
            <w:shd w:fill="F6F6F6"/>
          </w:tcPr>
          <w:p>
            <w:pPr>
              <w:spacing w:after="0" w:line="276" w:lineRule="auto"/>
              <w:jc w:val="center"/>
            </w:pPr>
            <w:r>
              <w:rPr>
                <w:rFonts w:ascii="Arial" w:hAnsi="Arial" w:cs="Arial" w:eastAsia="Arial Unicode MS"/>
                <w:b w:val="0"/>
                <w:i w:val="0"/>
                <w:color w:val="000000"/>
                <w:sz w:val="21"/>
              </w:rPr>
              <w:t>3–5</w:t>
            </w:r>
          </w:p>
        </w:tc>
        <w:tc>
          <w:tcPr>
            <w:tcW w:type="dxa" w:w="936"/>
            <w:vAlign w:val="center"/>
            <w:tcMar>
              <w:top w:w="110" w:type="dxa"/>
              <w:left w:w="110" w:type="dxa"/>
              <w:bottom w:w="110" w:type="dxa"/>
              <w:right w:w="110" w:type="dxa"/>
            </w:tcMar>
            <w:tcBorders>
              <w:top w:val="single" w:sz="4" w:color="D9D9D9"/>
              <w:left w:val="single" w:sz="4" w:color="D9D9D9"/>
              <w:bottom w:val="single" w:sz="4" w:color="D9D9D9"/>
              <w:right w:val="single" w:sz="4" w:color="D9D9D9"/>
            </w:tcBorders>
            <w:shd w:fill="F6F6F6"/>
          </w:tcPr>
          <w:p>
            <w:pPr>
              <w:spacing w:after="0" w:line="276" w:lineRule="auto"/>
              <w:jc w:val="center"/>
            </w:pPr>
            <w:r>
              <w:rPr>
                <w:rFonts w:ascii="Arial" w:hAnsi="Arial" w:cs="Arial" w:eastAsia="Arial Unicode MS"/>
                <w:b w:val="0"/>
                <w:i w:val="0"/>
                <w:color w:val="000000"/>
                <w:sz w:val="21"/>
              </w:rPr>
              <w:t>1:50</w:t>
            </w:r>
          </w:p>
        </w:tc>
        <w:tc>
          <w:tcPr>
            <w:tcW w:type="dxa" w:w="5256"/>
            <w:vAlign w:val="center"/>
            <w:tcMar>
              <w:top w:w="110" w:type="dxa"/>
              <w:left w:w="110" w:type="dxa"/>
              <w:bottom w:w="110" w:type="dxa"/>
              <w:right w:w="110" w:type="dxa"/>
            </w:tcMar>
            <w:tcBorders>
              <w:top w:val="single" w:sz="4" w:color="D9D9D9"/>
              <w:left w:val="single" w:sz="4" w:color="D9D9D9"/>
              <w:bottom w:val="single" w:sz="4" w:color="D9D9D9"/>
              <w:right w:val="single" w:sz="4" w:color="D9D9D9"/>
            </w:tcBorders>
            <w:shd w:fill="F6F6F6"/>
          </w:tcPr>
          <w:p>
            <w:pPr>
              <w:spacing w:after="0" w:line="276" w:lineRule="auto"/>
            </w:pPr>
            <w:r>
              <w:rPr>
                <w:rFonts w:ascii="Arial" w:hAnsi="Arial" w:cs="Arial" w:eastAsia="Arial Unicode MS"/>
                <w:b w:val="0"/>
                <w:i w:val="0"/>
                <w:color w:val="000000"/>
                <w:sz w:val="21"/>
              </w:rPr>
              <w:t>Patient journey, OLD CARTS and interaction</w:t>
            </w:r>
          </w:p>
        </w:tc>
      </w:tr>
      <w:tr>
        <w:tc>
          <w:tcPr>
            <w:tcW w:type="dxa" w:w="2088"/>
            <w:vAlign w:val="center"/>
            <w:tcMar>
              <w:top w:w="110" w:type="dxa"/>
              <w:left w:w="110" w:type="dxa"/>
              <w:bottom w:w="110" w:type="dxa"/>
              <w:right w:w="110" w:type="dxa"/>
            </w:tcMar>
            <w:tcBorders>
              <w:top w:val="single" w:sz="4" w:color="D9D9D9"/>
              <w:left w:val="single" w:sz="4" w:color="D9D9D9"/>
              <w:bottom w:val="single" w:sz="4" w:color="D9D9D9"/>
              <w:right w:val="single" w:sz="4" w:color="D9D9D9"/>
            </w:tcBorders>
            <w:shd w:fill="FFFFFF"/>
          </w:tcPr>
          <w:p>
            <w:pPr>
              <w:spacing w:after="0" w:line="276" w:lineRule="auto"/>
            </w:pPr>
            <w:r>
              <w:rPr>
                <w:rFonts w:ascii="Arial" w:hAnsi="Arial" w:cs="Arial" w:eastAsia="Arial Unicode MS"/>
                <w:b w:val="0"/>
                <w:i w:val="0"/>
                <w:color w:val="000000"/>
                <w:sz w:val="21"/>
              </w:rPr>
              <w:t>Robin Kim</w:t>
            </w:r>
          </w:p>
        </w:tc>
        <w:tc>
          <w:tcPr>
            <w:tcW w:type="dxa" w:w="1008"/>
            <w:vAlign w:val="center"/>
            <w:tcMar>
              <w:top w:w="110" w:type="dxa"/>
              <w:left w:w="110" w:type="dxa"/>
              <w:bottom w:w="110" w:type="dxa"/>
              <w:right w:w="110" w:type="dxa"/>
            </w:tcMar>
            <w:tcBorders>
              <w:top w:val="single" w:sz="4" w:color="D9D9D9"/>
              <w:left w:val="single" w:sz="4" w:color="D9D9D9"/>
              <w:bottom w:val="single" w:sz="4" w:color="D9D9D9"/>
              <w:right w:val="single" w:sz="4" w:color="D9D9D9"/>
            </w:tcBorders>
            <w:shd w:fill="FFFFFF"/>
          </w:tcPr>
          <w:p>
            <w:pPr>
              <w:spacing w:after="0" w:line="276" w:lineRule="auto"/>
              <w:jc w:val="center"/>
            </w:pPr>
            <w:r>
              <w:rPr>
                <w:rFonts w:ascii="Arial" w:hAnsi="Arial" w:cs="Arial" w:eastAsia="Arial Unicode MS"/>
                <w:b w:val="0"/>
                <w:i w:val="0"/>
                <w:color w:val="000000"/>
                <w:sz w:val="21"/>
              </w:rPr>
              <w:t>6–7</w:t>
            </w:r>
          </w:p>
        </w:tc>
        <w:tc>
          <w:tcPr>
            <w:tcW w:type="dxa" w:w="936"/>
            <w:vAlign w:val="center"/>
            <w:tcMar>
              <w:top w:w="110" w:type="dxa"/>
              <w:left w:w="110" w:type="dxa"/>
              <w:bottom w:w="110" w:type="dxa"/>
              <w:right w:w="110" w:type="dxa"/>
            </w:tcMar>
            <w:tcBorders>
              <w:top w:val="single" w:sz="4" w:color="D9D9D9"/>
              <w:left w:val="single" w:sz="4" w:color="D9D9D9"/>
              <w:bottom w:val="single" w:sz="4" w:color="D9D9D9"/>
              <w:right w:val="single" w:sz="4" w:color="D9D9D9"/>
            </w:tcBorders>
            <w:shd w:fill="FFFFFF"/>
          </w:tcPr>
          <w:p>
            <w:pPr>
              <w:spacing w:after="0" w:line="276" w:lineRule="auto"/>
              <w:jc w:val="center"/>
            </w:pPr>
            <w:r>
              <w:rPr>
                <w:rFonts w:ascii="Arial" w:hAnsi="Arial" w:cs="Arial" w:eastAsia="Arial Unicode MS"/>
                <w:b w:val="0"/>
                <w:i w:val="0"/>
                <w:color w:val="000000"/>
                <w:sz w:val="21"/>
              </w:rPr>
              <w:t>1:30</w:t>
            </w:r>
          </w:p>
        </w:tc>
        <w:tc>
          <w:tcPr>
            <w:tcW w:type="dxa" w:w="5256"/>
            <w:vAlign w:val="center"/>
            <w:tcMar>
              <w:top w:w="110" w:type="dxa"/>
              <w:left w:w="110" w:type="dxa"/>
              <w:bottom w:w="110" w:type="dxa"/>
              <w:right w:w="110" w:type="dxa"/>
            </w:tcMar>
            <w:tcBorders>
              <w:top w:val="single" w:sz="4" w:color="D9D9D9"/>
              <w:left w:val="single" w:sz="4" w:color="D9D9D9"/>
              <w:bottom w:val="single" w:sz="4" w:color="D9D9D9"/>
              <w:right w:val="single" w:sz="4" w:color="D9D9D9"/>
            </w:tcBorders>
            <w:shd w:fill="FFFFFF"/>
          </w:tcPr>
          <w:p>
            <w:pPr>
              <w:spacing w:after="0" w:line="276" w:lineRule="auto"/>
            </w:pPr>
            <w:r>
              <w:rPr>
                <w:rFonts w:ascii="Arial" w:hAnsi="Arial" w:cs="Arial" w:eastAsia="Arial Unicode MS"/>
                <w:b w:val="0"/>
                <w:i w:val="0"/>
                <w:color w:val="000000"/>
                <w:sz w:val="21"/>
              </w:rPr>
              <w:t>Architecture, AI workflow and evidence</w:t>
            </w:r>
          </w:p>
        </w:tc>
      </w:tr>
      <w:tr>
        <w:tc>
          <w:tcPr>
            <w:tcW w:type="dxa" w:w="2088"/>
            <w:vAlign w:val="center"/>
            <w:tcMar>
              <w:top w:w="110" w:type="dxa"/>
              <w:left w:w="110" w:type="dxa"/>
              <w:bottom w:w="110" w:type="dxa"/>
              <w:right w:w="110" w:type="dxa"/>
            </w:tcMar>
            <w:tcBorders>
              <w:top w:val="single" w:sz="4" w:color="D9D9D9"/>
              <w:left w:val="single" w:sz="4" w:color="D9D9D9"/>
              <w:bottom w:val="single" w:sz="4" w:color="D9D9D9"/>
              <w:right w:val="single" w:sz="4" w:color="D9D9D9"/>
            </w:tcBorders>
            <w:shd w:fill="F6F6F6"/>
          </w:tcPr>
          <w:p>
            <w:pPr>
              <w:spacing w:after="0" w:line="276" w:lineRule="auto"/>
            </w:pPr>
            <w:r>
              <w:rPr>
                <w:rFonts w:ascii="Arial" w:hAnsi="Arial" w:cs="Arial" w:eastAsia="Arial Unicode MS"/>
                <w:b w:val="0"/>
                <w:i w:val="0"/>
                <w:color w:val="000000"/>
                <w:sz w:val="21"/>
              </w:rPr>
              <w:t>Haobo Wang</w:t>
            </w:r>
          </w:p>
        </w:tc>
        <w:tc>
          <w:tcPr>
            <w:tcW w:type="dxa" w:w="1008"/>
            <w:vAlign w:val="center"/>
            <w:tcMar>
              <w:top w:w="110" w:type="dxa"/>
              <w:left w:w="110" w:type="dxa"/>
              <w:bottom w:w="110" w:type="dxa"/>
              <w:right w:w="110" w:type="dxa"/>
            </w:tcMar>
            <w:tcBorders>
              <w:top w:val="single" w:sz="4" w:color="D9D9D9"/>
              <w:left w:val="single" w:sz="4" w:color="D9D9D9"/>
              <w:bottom w:val="single" w:sz="4" w:color="D9D9D9"/>
              <w:right w:val="single" w:sz="4" w:color="D9D9D9"/>
            </w:tcBorders>
            <w:shd w:fill="F6F6F6"/>
          </w:tcPr>
          <w:p>
            <w:pPr>
              <w:spacing w:after="0" w:line="276" w:lineRule="auto"/>
              <w:jc w:val="center"/>
            </w:pPr>
            <w:r>
              <w:rPr>
                <w:rFonts w:ascii="Arial" w:hAnsi="Arial" w:cs="Arial" w:eastAsia="Arial Unicode MS"/>
                <w:b w:val="0"/>
                <w:i w:val="0"/>
                <w:color w:val="000000"/>
                <w:sz w:val="21"/>
              </w:rPr>
              <w:t>8–9</w:t>
            </w:r>
          </w:p>
        </w:tc>
        <w:tc>
          <w:tcPr>
            <w:tcW w:type="dxa" w:w="936"/>
            <w:vAlign w:val="center"/>
            <w:tcMar>
              <w:top w:w="110" w:type="dxa"/>
              <w:left w:w="110" w:type="dxa"/>
              <w:bottom w:w="110" w:type="dxa"/>
              <w:right w:w="110" w:type="dxa"/>
            </w:tcMar>
            <w:tcBorders>
              <w:top w:val="single" w:sz="4" w:color="D9D9D9"/>
              <w:left w:val="single" w:sz="4" w:color="D9D9D9"/>
              <w:bottom w:val="single" w:sz="4" w:color="D9D9D9"/>
              <w:right w:val="single" w:sz="4" w:color="D9D9D9"/>
            </w:tcBorders>
            <w:shd w:fill="F6F6F6"/>
          </w:tcPr>
          <w:p>
            <w:pPr>
              <w:spacing w:after="0" w:line="276" w:lineRule="auto"/>
              <w:jc w:val="center"/>
            </w:pPr>
            <w:r>
              <w:rPr>
                <w:rFonts w:ascii="Arial" w:hAnsi="Arial" w:cs="Arial" w:eastAsia="Arial Unicode MS"/>
                <w:b w:val="0"/>
                <w:i w:val="0"/>
                <w:color w:val="000000"/>
                <w:sz w:val="21"/>
              </w:rPr>
              <w:t>1:30</w:t>
            </w:r>
          </w:p>
        </w:tc>
        <w:tc>
          <w:tcPr>
            <w:tcW w:type="dxa" w:w="5256"/>
            <w:vAlign w:val="center"/>
            <w:tcMar>
              <w:top w:w="110" w:type="dxa"/>
              <w:left w:w="110" w:type="dxa"/>
              <w:bottom w:w="110" w:type="dxa"/>
              <w:right w:w="110" w:type="dxa"/>
            </w:tcMar>
            <w:tcBorders>
              <w:top w:val="single" w:sz="4" w:color="D9D9D9"/>
              <w:left w:val="single" w:sz="4" w:color="D9D9D9"/>
              <w:bottom w:val="single" w:sz="4" w:color="D9D9D9"/>
              <w:right w:val="single" w:sz="4" w:color="D9D9D9"/>
            </w:tcBorders>
            <w:shd w:fill="F6F6F6"/>
          </w:tcPr>
          <w:p>
            <w:pPr>
              <w:spacing w:after="0" w:line="276" w:lineRule="auto"/>
            </w:pPr>
            <w:r>
              <w:rPr>
                <w:rFonts w:ascii="Arial" w:hAnsi="Arial" w:cs="Arial" w:eastAsia="Arial Unicode MS"/>
                <w:b w:val="0"/>
                <w:i w:val="0"/>
                <w:color w:val="000000"/>
                <w:sz w:val="21"/>
              </w:rPr>
              <w:t>Patient approval and security boundaries</w:t>
            </w:r>
          </w:p>
        </w:tc>
      </w:tr>
      <w:tr>
        <w:tc>
          <w:tcPr>
            <w:tcW w:type="dxa" w:w="2088"/>
            <w:vAlign w:val="center"/>
            <w:tcMar>
              <w:top w:w="110" w:type="dxa"/>
              <w:left w:w="110" w:type="dxa"/>
              <w:bottom w:w="110" w:type="dxa"/>
              <w:right w:w="110" w:type="dxa"/>
            </w:tcMar>
            <w:tcBorders>
              <w:top w:val="single" w:sz="4" w:color="D9D9D9"/>
              <w:left w:val="single" w:sz="4" w:color="D9D9D9"/>
              <w:bottom w:val="single" w:sz="4" w:color="D9D9D9"/>
              <w:right w:val="single" w:sz="4" w:color="D9D9D9"/>
            </w:tcBorders>
            <w:shd w:fill="FFFFFF"/>
          </w:tcPr>
          <w:p>
            <w:pPr>
              <w:spacing w:after="0" w:line="276" w:lineRule="auto"/>
            </w:pPr>
            <w:r>
              <w:rPr>
                <w:rFonts w:ascii="Arial" w:hAnsi="Arial" w:cs="Arial" w:eastAsia="Arial Unicode MS"/>
                <w:b w:val="0"/>
                <w:i w:val="0"/>
                <w:color w:val="000000"/>
                <w:sz w:val="21"/>
              </w:rPr>
              <w:t>Hengyu Wang</w:t>
            </w:r>
          </w:p>
        </w:tc>
        <w:tc>
          <w:tcPr>
            <w:tcW w:type="dxa" w:w="1008"/>
            <w:vAlign w:val="center"/>
            <w:tcMar>
              <w:top w:w="110" w:type="dxa"/>
              <w:left w:w="110" w:type="dxa"/>
              <w:bottom w:w="110" w:type="dxa"/>
              <w:right w:w="110" w:type="dxa"/>
            </w:tcMar>
            <w:tcBorders>
              <w:top w:val="single" w:sz="4" w:color="D9D9D9"/>
              <w:left w:val="single" w:sz="4" w:color="D9D9D9"/>
              <w:bottom w:val="single" w:sz="4" w:color="D9D9D9"/>
              <w:right w:val="single" w:sz="4" w:color="D9D9D9"/>
            </w:tcBorders>
            <w:shd w:fill="FFFFFF"/>
          </w:tcPr>
          <w:p>
            <w:pPr>
              <w:spacing w:after="0" w:line="276" w:lineRule="auto"/>
              <w:jc w:val="center"/>
            </w:pPr>
            <w:r>
              <w:rPr>
                <w:rFonts w:ascii="Arial" w:hAnsi="Arial" w:cs="Arial" w:eastAsia="Arial Unicode MS"/>
                <w:b w:val="0"/>
                <w:i w:val="0"/>
                <w:color w:val="000000"/>
                <w:sz w:val="21"/>
              </w:rPr>
              <w:t>10–12</w:t>
            </w:r>
          </w:p>
        </w:tc>
        <w:tc>
          <w:tcPr>
            <w:tcW w:type="dxa" w:w="936"/>
            <w:vAlign w:val="center"/>
            <w:tcMar>
              <w:top w:w="110" w:type="dxa"/>
              <w:left w:w="110" w:type="dxa"/>
              <w:bottom w:w="110" w:type="dxa"/>
              <w:right w:w="110" w:type="dxa"/>
            </w:tcMar>
            <w:tcBorders>
              <w:top w:val="single" w:sz="4" w:color="D9D9D9"/>
              <w:left w:val="single" w:sz="4" w:color="D9D9D9"/>
              <w:bottom w:val="single" w:sz="4" w:color="D9D9D9"/>
              <w:right w:val="single" w:sz="4" w:color="D9D9D9"/>
            </w:tcBorders>
            <w:shd w:fill="FFFFFF"/>
          </w:tcPr>
          <w:p>
            <w:pPr>
              <w:spacing w:after="0" w:line="276" w:lineRule="auto"/>
              <w:jc w:val="center"/>
            </w:pPr>
            <w:r>
              <w:rPr>
                <w:rFonts w:ascii="Arial" w:hAnsi="Arial" w:cs="Arial" w:eastAsia="Arial Unicode MS"/>
                <w:b w:val="0"/>
                <w:i w:val="0"/>
                <w:color w:val="000000"/>
                <w:sz w:val="21"/>
              </w:rPr>
              <w:t>1:35</w:t>
            </w:r>
          </w:p>
        </w:tc>
        <w:tc>
          <w:tcPr>
            <w:tcW w:type="dxa" w:w="5256"/>
            <w:vAlign w:val="center"/>
            <w:tcMar>
              <w:top w:w="110" w:type="dxa"/>
              <w:left w:w="110" w:type="dxa"/>
              <w:bottom w:w="110" w:type="dxa"/>
              <w:right w:w="110" w:type="dxa"/>
            </w:tcMar>
            <w:tcBorders>
              <w:top w:val="single" w:sz="4" w:color="D9D9D9"/>
              <w:left w:val="single" w:sz="4" w:color="D9D9D9"/>
              <w:bottom w:val="single" w:sz="4" w:color="D9D9D9"/>
              <w:right w:val="single" w:sz="4" w:color="D9D9D9"/>
            </w:tcBorders>
            <w:shd w:fill="FFFFFF"/>
          </w:tcPr>
          <w:p>
            <w:pPr>
              <w:spacing w:after="0" w:line="276" w:lineRule="auto"/>
            </w:pPr>
            <w:r>
              <w:rPr>
                <w:rFonts w:ascii="Arial" w:hAnsi="Arial" w:cs="Arial" w:eastAsia="Arial Unicode MS"/>
                <w:b w:val="0"/>
                <w:i w:val="0"/>
                <w:color w:val="000000"/>
                <w:sz w:val="21"/>
              </w:rPr>
              <w:t>Test evidence, latency and conclusion</w:t>
            </w:r>
          </w:p>
        </w:tc>
      </w:tr>
    </w:tbl>
    <w:p>
      <w:pPr>
        <w:keepNext w:val="0"/>
        <w:spacing w:after="340" w:before="200"/>
      </w:pPr>
      <w:r>
        <w:rPr>
          <w:rFonts w:ascii="Arial" w:hAnsi="Arial" w:cs="Arial" w:eastAsia="Arial Unicode MS"/>
          <w:b w:val="0"/>
          <w:i w:val="0"/>
          <w:color w:val="444444"/>
          <w:sz w:val="21"/>
        </w:rPr>
        <w:t>Speaking total 7:55  ·  Transition allowance 0:05  ·  Q&amp;A 2:00</w:t>
      </w:r>
    </w:p>
    <w:p>
      <w:pPr>
        <w:pStyle w:val="Heading2"/>
        <w:spacing w:before="220"/>
      </w:pPr>
      <w:r>
        <w:rPr>
          <w:rFonts w:ascii="Arial" w:hAnsi="Arial" w:cs="Arial" w:eastAsia="Arial Unicode MS"/>
          <w:b/>
          <w:i w:val="0"/>
          <w:color w:val="000000"/>
          <w:sz w:val="27"/>
        </w:rPr>
        <w:t>How to rehearse</w:t>
      </w:r>
    </w:p>
    <w:p>
      <w:pPr>
        <w:keepNext w:val="0"/>
        <w:spacing w:after="160" w:before="0"/>
      </w:pPr>
      <w:r>
        <w:rPr>
          <w:rFonts w:ascii="Arial" w:hAnsi="Arial" w:cs="Arial" w:eastAsia="Arial Unicode MS"/>
          <w:b w:val="0"/>
          <w:i w:val="0"/>
          <w:color w:val="000000"/>
          <w:sz w:val="23"/>
        </w:rPr>
        <w:t>The main script contains 971 English words, including handoffs. Aim for about 122 words per minute, with brief pauses to point at the screenshots. Rehearse with the deck and a visible timer. Do not read every label on a slide.</w:t>
      </w:r>
    </w:p>
    <w:p>
      <w:pPr>
        <w:keepNext w:val="0"/>
        <w:spacing w:after="160" w:before="0"/>
      </w:pPr>
      <w:r>
        <w:rPr>
          <w:rFonts w:ascii="Arial" w:hAnsi="Arial" w:cs="Arial" w:eastAsia="Arial Unicode MS"/>
          <w:b w:val="0"/>
          <w:i w:val="0"/>
          <w:color w:val="000000"/>
          <w:sz w:val="23"/>
        </w:rPr>
        <w:t>Keep the main presentation on slides 1–12. Use backup slides 13–16 only when a question needs more detail. Any member may be asked to answer, so everyone should learn the security, evidence and clinical-limit answers.</w:t>
      </w:r>
    </w:p>
    <w:p>
      <w:pPr>
        <w:keepNext w:val="0"/>
        <w:spacing w:after="160" w:before="140"/>
      </w:pPr>
      <w:r>
        <w:rPr>
          <w:rFonts w:ascii="Arial" w:hAnsi="Arial" w:cs="Arial" w:eastAsia="Arial Unicode MS"/>
          <w:b w:val="0"/>
          <w:i w:val="0"/>
          <w:color w:val="444444"/>
          <w:sz w:val="21"/>
        </w:rPr>
        <w:t>The responsibilities above are presentation roles. They do not replace the team’s implementation contribution record.</w:t>
      </w:r>
    </w:p>
    <w:p>
      <w:pPr>
        <w:spacing w:after="160" w:line="276" w:lineRule="auto"/>
      </w:pPr>
      <w:r>
        <w:rPr>
          <w:rFonts w:ascii="Arial" w:hAnsi="Arial" w:cs="Arial" w:eastAsia="Arial Unicode MS"/>
          <w:b/>
          <w:i w:val="0"/>
          <w:color w:val="000000"/>
          <w:sz w:val="21"/>
        </w:rPr>
        <w:t xml:space="preserve">排练提示  </w:t>
      </w:r>
      <w:r>
        <w:rPr>
          <w:rFonts w:ascii="Arial" w:hAnsi="Arial" w:cs="Arial" w:eastAsia="Arial Unicode MS"/>
          <w:b w:val="0"/>
          <w:i w:val="0"/>
          <w:color w:val="444444"/>
          <w:sz w:val="21"/>
        </w:rPr>
        <w:t>练习时由一人负责翻页和计时。每人掌握自己的部分，也熟悉全部12个问答。超过时间时删例子，不删安全和评估边界。</w:t>
      </w:r>
    </w:p>
    <w:p>
      <w:pPr>
        <w:pStyle w:val="Heading1"/>
        <w:pageBreakBefore/>
        <w:spacing w:before="0"/>
      </w:pPr>
      <w:r>
        <w:rPr>
          <w:rFonts w:ascii="Arial" w:hAnsi="Arial" w:cs="Arial" w:eastAsia="Arial Unicode MS"/>
          <w:b/>
          <w:i w:val="0"/>
          <w:color w:val="000000"/>
          <w:sz w:val="42"/>
        </w:rPr>
        <w:t>Heeran Shin</w:t>
      </w:r>
    </w:p>
    <w:p>
      <w:pPr>
        <w:keepNext w:val="0"/>
        <w:spacing w:after="280" w:before="0"/>
      </w:pPr>
      <w:r>
        <w:rPr>
          <w:rFonts w:ascii="Arial" w:hAnsi="Arial" w:cs="Arial" w:eastAsia="Arial Unicode MS"/>
          <w:b w:val="0"/>
          <w:i w:val="0"/>
          <w:color w:val="444444"/>
          <w:sz w:val="21"/>
        </w:rPr>
        <w:t>Slides 1–2  ·  1:30 speaking time  ·  180 words</w:t>
      </w:r>
    </w:p>
    <w:p>
      <w:pPr>
        <w:keepNext w:val="0"/>
        <w:spacing w:after="300" w:before="0"/>
      </w:pPr>
      <w:r>
        <w:rPr>
          <w:rFonts w:ascii="Arial" w:hAnsi="Arial" w:cs="Arial" w:eastAsia="Arial Unicode MS"/>
          <w:b w:val="0"/>
          <w:i w:val="0"/>
          <w:color w:val="333333"/>
          <w:sz w:val="22"/>
        </w:rPr>
        <w:t>Explain the patient problem and position the project beside existing preparation and symptom-assessment approaches.</w:t>
      </w:r>
    </w:p>
    <w:p>
      <w:pPr>
        <w:pStyle w:val="Heading2"/>
        <w:spacing w:before="220"/>
      </w:pPr>
      <w:r>
        <w:rPr>
          <w:rFonts w:ascii="Arial" w:hAnsi="Arial" w:cs="Arial" w:eastAsia="Arial Unicode MS"/>
          <w:b/>
          <w:i w:val="0"/>
          <w:color w:val="000000"/>
          <w:sz w:val="27"/>
        </w:rPr>
        <w:t>Slide 1  PreConsult and the problem we address</w:t>
      </w:r>
    </w:p>
    <w:p>
      <w:pPr>
        <w:keepNext w:val="0"/>
        <w:spacing w:after="140" w:before="0"/>
      </w:pPr>
      <w:r>
        <w:rPr>
          <w:rFonts w:ascii="Arial" w:hAnsi="Arial" w:cs="Arial" w:eastAsia="Arial Unicode MS"/>
          <w:b w:val="0"/>
          <w:i w:val="0"/>
          <w:color w:val="555555"/>
          <w:sz w:val="20"/>
        </w:rPr>
        <w:t>20 seconds</w:t>
      </w:r>
    </w:p>
    <w:p>
      <w:pPr>
        <w:keepNext w:val="0"/>
        <w:spacing w:after="180" w:before="0"/>
      </w:pPr>
      <w:r>
        <w:rPr>
          <w:rFonts w:ascii="Arial" w:hAnsi="Arial" w:cs="Arial" w:eastAsia="Arial Unicode MS"/>
          <w:b w:val="0"/>
          <w:i w:val="0"/>
          <w:color w:val="000000"/>
          <w:sz w:val="23"/>
        </w:rPr>
        <w:t>Hello, we are Group 9. Our project is PreConsult, a preparation tool for a planned medical appointment. It helps patients explain their concerns, check an organised record, and choose what to share with a doctor.</w:t>
      </w:r>
    </w:p>
    <w:p>
      <w:pPr>
        <w:spacing w:after="160" w:line="276" w:lineRule="auto"/>
      </w:pPr>
      <w:r>
        <w:rPr>
          <w:rFonts w:ascii="Arial" w:hAnsi="Arial" w:cs="Arial" w:eastAsia="Arial Unicode MS"/>
          <w:b/>
          <w:i w:val="0"/>
          <w:color w:val="000000"/>
          <w:sz w:val="21"/>
        </w:rPr>
        <w:t xml:space="preserve">排练提示  </w:t>
      </w:r>
      <w:r>
        <w:rPr>
          <w:rFonts w:ascii="Arial" w:hAnsi="Arial" w:cs="Arial" w:eastAsia="Arial Unicode MS"/>
          <w:b w:val="0"/>
          <w:i w:val="0"/>
          <w:color w:val="444444"/>
          <w:sz w:val="21"/>
        </w:rPr>
        <w:t>先说项目用途，再说患者掌握分享权。不要把产品介绍成自动诊断医生。讲完直接进入问题背景。</w:t>
      </w:r>
    </w:p>
    <w:p>
      <w:pPr>
        <w:pStyle w:val="Heading2"/>
        <w:spacing w:before="220"/>
      </w:pPr>
      <w:r>
        <w:rPr>
          <w:rFonts w:ascii="Arial" w:hAnsi="Arial" w:cs="Arial" w:eastAsia="Arial Unicode MS"/>
          <w:b/>
          <w:i w:val="0"/>
          <w:color w:val="000000"/>
          <w:sz w:val="27"/>
        </w:rPr>
        <w:t>Slide 2  Motivation and the gap we address</w:t>
      </w:r>
    </w:p>
    <w:p>
      <w:pPr>
        <w:keepNext w:val="0"/>
        <w:spacing w:after="140" w:before="0"/>
      </w:pPr>
      <w:r>
        <w:rPr>
          <w:rFonts w:ascii="Arial" w:hAnsi="Arial" w:cs="Arial" w:eastAsia="Arial Unicode MS"/>
          <w:b w:val="0"/>
          <w:i w:val="0"/>
          <w:color w:val="555555"/>
          <w:sz w:val="20"/>
        </w:rPr>
        <w:t>70 seconds</w:t>
      </w:r>
    </w:p>
    <w:p>
      <w:pPr>
        <w:keepNext w:val="0"/>
        <w:spacing w:after="180" w:before="0"/>
      </w:pPr>
      <w:r>
        <w:rPr>
          <w:rFonts w:ascii="Arial" w:hAnsi="Arial" w:cs="Arial" w:eastAsia="Arial Unicode MS"/>
          <w:b w:val="0"/>
          <w:i w:val="0"/>
          <w:color w:val="000000"/>
          <w:sz w:val="23"/>
        </w:rPr>
        <w:t>A patient may arrive with a clear concern but struggle to describe its timing, remember a medicine, or explain what matters most. Preparation tools already address parts of this problem. AHRQ's Be Prepared materials help patients organise their reasons, concerns, questions and goals before a visit. Ada asks symptom questions and produces an assessment report with possible causes. We build on these established ideas. Our focus is an editable preparation record, with a visible path from the patient's words to the final handoff. The patient can say that they are unsure, decline a question, correct a detail, and approve a specific version for one doctor. Our contribution is this working combination of a guided interface, constrained AI and controlled sharing. We have engineering evidence for its behaviour, while clinical benefit and real-world usability still need evaluation.</w:t>
      </w:r>
    </w:p>
    <w:p>
      <w:pPr>
        <w:spacing w:after="160" w:line="276" w:lineRule="auto"/>
      </w:pPr>
      <w:r>
        <w:rPr>
          <w:rFonts w:ascii="Arial" w:hAnsi="Arial" w:cs="Arial" w:eastAsia="Arial Unicode MS"/>
          <w:b/>
          <w:i w:val="0"/>
          <w:color w:val="000000"/>
          <w:sz w:val="21"/>
        </w:rPr>
        <w:t xml:space="preserve">排练提示  </w:t>
      </w:r>
      <w:r>
        <w:rPr>
          <w:rFonts w:ascii="Arial" w:hAnsi="Arial" w:cs="Arial" w:eastAsia="Arial Unicode MS"/>
          <w:b w:val="0"/>
          <w:i w:val="0"/>
          <w:color w:val="444444"/>
          <w:sz w:val="21"/>
        </w:rPr>
        <w:t>用患者忘记药物或描述不清时间的场景开头。AHRQ 是就诊准备，Ada 是症状评估。强调本项目的集成重点，不说竞争产品没有隐私功能，也不说我们市场唯一。</w:t>
      </w:r>
    </w:p>
    <w:p>
      <w:pPr>
        <w:spacing w:after="120"/>
      </w:pPr>
      <w:r>
        <w:rPr>
          <w:rFonts w:ascii="Arial" w:hAnsi="Arial" w:cs="Arial" w:eastAsia="Arial Unicode MS"/>
          <w:b/>
          <w:i w:val="0"/>
          <w:color w:val="000000"/>
          <w:sz w:val="21"/>
        </w:rPr>
        <w:t xml:space="preserve">Handoff  </w:t>
      </w:r>
      <w:r>
        <w:rPr>
          <w:rFonts w:ascii="Arial" w:hAnsi="Arial" w:cs="Arial" w:eastAsia="Arial Unicode MS"/>
          <w:b w:val="0"/>
          <w:i/>
          <w:color w:val="000000"/>
          <w:sz w:val="22"/>
        </w:rPr>
        <w:t>Guopeng will show how this works for a patient.</w:t>
      </w:r>
    </w:p>
    <w:p>
      <w:pPr>
        <w:pStyle w:val="Heading1"/>
        <w:pageBreakBefore/>
        <w:spacing w:before="0"/>
      </w:pPr>
      <w:r>
        <w:rPr>
          <w:rFonts w:ascii="Arial" w:hAnsi="Arial" w:cs="Arial" w:eastAsia="Arial Unicode MS"/>
          <w:b/>
          <w:i w:val="0"/>
          <w:color w:val="000000"/>
          <w:sz w:val="42"/>
        </w:rPr>
        <w:t>Guopeng Tan</w:t>
      </w:r>
    </w:p>
    <w:p>
      <w:pPr>
        <w:keepNext w:val="0"/>
        <w:spacing w:after="280" w:before="0"/>
      </w:pPr>
      <w:r>
        <w:rPr>
          <w:rFonts w:ascii="Arial" w:hAnsi="Arial" w:cs="Arial" w:eastAsia="Arial Unicode MS"/>
          <w:b w:val="0"/>
          <w:i w:val="0"/>
          <w:color w:val="444444"/>
          <w:sz w:val="21"/>
        </w:rPr>
        <w:t>Slides 3–5  ·  1:50 speaking time  ·  227 words</w:t>
      </w:r>
    </w:p>
    <w:p>
      <w:pPr>
        <w:keepNext w:val="0"/>
        <w:spacing w:after="300" w:before="0"/>
      </w:pPr>
      <w:r>
        <w:rPr>
          <w:rFonts w:ascii="Arial" w:hAnsi="Arial" w:cs="Arial" w:eastAsia="Arial Unicode MS"/>
          <w:b w:val="0"/>
          <w:i w:val="0"/>
          <w:color w:val="333333"/>
          <w:sz w:val="22"/>
        </w:rPr>
        <w:t>Walk through patient interaction and explain how OLD CARTS improves organisation without forcing irrelevant questions.</w:t>
      </w:r>
    </w:p>
    <w:p>
      <w:pPr>
        <w:pStyle w:val="Heading2"/>
        <w:spacing w:before="220"/>
      </w:pPr>
      <w:r>
        <w:rPr>
          <w:rFonts w:ascii="Arial" w:hAnsi="Arial" w:cs="Arial" w:eastAsia="Arial Unicode MS"/>
          <w:b/>
          <w:i w:val="0"/>
          <w:color w:val="000000"/>
          <w:sz w:val="27"/>
        </w:rPr>
        <w:t>Slide 3  The patient journey</w:t>
      </w:r>
    </w:p>
    <w:p>
      <w:pPr>
        <w:keepNext w:val="0"/>
        <w:spacing w:after="140" w:before="0"/>
      </w:pPr>
      <w:r>
        <w:rPr>
          <w:rFonts w:ascii="Arial" w:hAnsi="Arial" w:cs="Arial" w:eastAsia="Arial Unicode MS"/>
          <w:b w:val="0"/>
          <w:i w:val="0"/>
          <w:color w:val="555555"/>
          <w:sz w:val="20"/>
        </w:rPr>
        <w:t>35 seconds</w:t>
      </w:r>
    </w:p>
    <w:p>
      <w:pPr>
        <w:keepNext w:val="0"/>
        <w:spacing w:after="180" w:before="0"/>
      </w:pPr>
      <w:r>
        <w:rPr>
          <w:rFonts w:ascii="Arial" w:hAnsi="Arial" w:cs="Arial" w:eastAsia="Arial Unicode MS"/>
          <w:b w:val="0"/>
          <w:i w:val="0"/>
          <w:color w:val="000000"/>
          <w:sz w:val="23"/>
        </w:rPr>
        <w:t>The patient starts with one of thirty topics, or describes a concern in their own words. We then show one question at a time. In this fictional knee-pain example, the patient can select both knees and add that the right side feels worse. Saved details remain editable. After the initial questions, the patient answers a small set of AI follow-ups, reviews the record, and decides whether to share it.</w:t>
      </w:r>
    </w:p>
    <w:p>
      <w:pPr>
        <w:spacing w:after="160" w:line="276" w:lineRule="auto"/>
      </w:pPr>
      <w:r>
        <w:rPr>
          <w:rFonts w:ascii="Arial" w:hAnsi="Arial" w:cs="Arial" w:eastAsia="Arial Unicode MS"/>
          <w:b/>
          <w:i w:val="0"/>
          <w:color w:val="000000"/>
          <w:sz w:val="21"/>
        </w:rPr>
        <w:t xml:space="preserve">排练提示  </w:t>
      </w:r>
      <w:r>
        <w:rPr>
          <w:rFonts w:ascii="Arial" w:hAnsi="Arial" w:cs="Arial" w:eastAsia="Arial Unicode MS"/>
          <w:b w:val="0"/>
          <w:i w:val="0"/>
          <w:color w:val="444444"/>
          <w:sz w:val="21"/>
        </w:rPr>
        <w:t>指向症状入口，再指向双膝选择。不要逐个读所有菜单。这里的 Alex 是虚构测试人物，不是真实患者。</w:t>
      </w:r>
    </w:p>
    <w:p>
      <w:pPr>
        <w:pStyle w:val="Heading2"/>
        <w:spacing w:before="220"/>
      </w:pPr>
      <w:r>
        <w:rPr>
          <w:rFonts w:ascii="Arial" w:hAnsi="Arial" w:cs="Arial" w:eastAsia="Arial Unicode MS"/>
          <w:b/>
          <w:i w:val="0"/>
          <w:color w:val="000000"/>
          <w:sz w:val="27"/>
        </w:rPr>
        <w:t>Slide 4  Organising symptom history with OLD CARTS</w:t>
      </w:r>
    </w:p>
    <w:p>
      <w:pPr>
        <w:keepNext w:val="0"/>
        <w:spacing w:after="140" w:before="0"/>
      </w:pPr>
      <w:r>
        <w:rPr>
          <w:rFonts w:ascii="Arial" w:hAnsi="Arial" w:cs="Arial" w:eastAsia="Arial Unicode MS"/>
          <w:b w:val="0"/>
          <w:i w:val="0"/>
          <w:color w:val="555555"/>
          <w:sz w:val="20"/>
        </w:rPr>
        <w:t>45 seconds</w:t>
      </w:r>
    </w:p>
    <w:p>
      <w:pPr>
        <w:keepNext w:val="0"/>
        <w:spacing w:after="180" w:before="0"/>
      </w:pPr>
      <w:r>
        <w:rPr>
          <w:rFonts w:ascii="Arial" w:hAnsi="Arial" w:cs="Arial" w:eastAsia="Arial Unicode MS"/>
          <w:b w:val="0"/>
          <w:i w:val="0"/>
          <w:color w:val="000000"/>
          <w:sz w:val="23"/>
        </w:rPr>
        <w:t>OLD CARTS gives us a way to organise a symptom story: onset, location, duration, character, aggravating factors, relieving factors, timing and severity. In our variant, R means relief; spreading pain is recorded separately. If the patient already said that stairs make the pain worse, we can reuse that supported detail instead of asking again. We keep overall duration separate from the length of one episode. Unknown, skipped and missing information remain different states. This is a structure for the patient's story, not a score that declares a medical history complete.</w:t>
      </w:r>
    </w:p>
    <w:p>
      <w:pPr>
        <w:spacing w:after="160" w:line="276" w:lineRule="auto"/>
      </w:pPr>
      <w:r>
        <w:rPr>
          <w:rFonts w:ascii="Arial" w:hAnsi="Arial" w:cs="Arial" w:eastAsia="Arial Unicode MS"/>
          <w:b/>
          <w:i w:val="0"/>
          <w:color w:val="000000"/>
          <w:sz w:val="21"/>
        </w:rPr>
        <w:t xml:space="preserve">排练提示  </w:t>
      </w:r>
      <w:r>
        <w:rPr>
          <w:rFonts w:ascii="Arial" w:hAnsi="Arial" w:cs="Arial" w:eastAsia="Arial Unicode MS"/>
          <w:b w:val="0"/>
          <w:i w:val="0"/>
          <w:color w:val="444444"/>
          <w:sz w:val="21"/>
        </w:rPr>
        <w:t>八项快速读过，不逐字解释缩写。重点举“上楼加重”如何复用，以及总时长和单次时长分开。R 的变体必须说清楚。</w:t>
      </w:r>
    </w:p>
    <w:p>
      <w:pPr>
        <w:pStyle w:val="Heading2"/>
        <w:spacing w:before="220"/>
      </w:pPr>
      <w:r>
        <w:rPr>
          <w:rFonts w:ascii="Arial" w:hAnsi="Arial" w:cs="Arial" w:eastAsia="Arial Unicode MS"/>
          <w:b/>
          <w:i w:val="0"/>
          <w:color w:val="000000"/>
          <w:sz w:val="27"/>
        </w:rPr>
        <w:t>Slide 5  Less effort to explain the concern</w:t>
      </w:r>
    </w:p>
    <w:p>
      <w:pPr>
        <w:keepNext w:val="0"/>
        <w:spacing w:after="140" w:before="0"/>
      </w:pPr>
      <w:r>
        <w:rPr>
          <w:rFonts w:ascii="Arial" w:hAnsi="Arial" w:cs="Arial" w:eastAsia="Arial Unicode MS"/>
          <w:b w:val="0"/>
          <w:i w:val="0"/>
          <w:color w:val="555555"/>
          <w:sz w:val="20"/>
        </w:rPr>
        <w:t>30 seconds</w:t>
      </w:r>
    </w:p>
    <w:p>
      <w:pPr>
        <w:keepNext w:val="0"/>
        <w:spacing w:after="180" w:before="0"/>
      </w:pPr>
      <w:r>
        <w:rPr>
          <w:rFonts w:ascii="Arial" w:hAnsi="Arial" w:cs="Arial" w:eastAsia="Arial Unicode MS"/>
          <w:b w:val="0"/>
          <w:i w:val="0"/>
          <w:color w:val="000000"/>
          <w:sz w:val="23"/>
        </w:rPr>
        <w:t>Voice input is part of the same flow. Pressing Stop transcribes the recording directly into an editable answer. Patients can reuse stable background details, while previous medicine and allergy answers are suggestions they can check. The interface supports English, simplified and traditional Chinese, Korean and Japanese. We also refined text size, spacing and touch targets without adding more steps.</w:t>
      </w:r>
    </w:p>
    <w:p>
      <w:pPr>
        <w:spacing w:after="160" w:line="276" w:lineRule="auto"/>
      </w:pPr>
      <w:r>
        <w:rPr>
          <w:rFonts w:ascii="Arial" w:hAnsi="Arial" w:cs="Arial" w:eastAsia="Arial Unicode MS"/>
          <w:b/>
          <w:i w:val="0"/>
          <w:color w:val="000000"/>
          <w:sz w:val="21"/>
        </w:rPr>
        <w:t xml:space="preserve">排练提示  </w:t>
      </w:r>
      <w:r>
        <w:rPr>
          <w:rFonts w:ascii="Arial" w:hAnsi="Arial" w:cs="Arial" w:eastAsia="Arial Unicode MS"/>
          <w:b w:val="0"/>
          <w:i w:val="0"/>
          <w:color w:val="444444"/>
          <w:sz w:val="21"/>
        </w:rPr>
        <w:t>强调 Stop 之后直接进输入框，仍可改字再继续。药物和过敏是上次回答提示，不是永远正确的当前事实。五种语言一次读完即可。</w:t>
      </w:r>
    </w:p>
    <w:p>
      <w:pPr>
        <w:spacing w:after="120"/>
      </w:pPr>
      <w:r>
        <w:rPr>
          <w:rFonts w:ascii="Arial" w:hAnsi="Arial" w:cs="Arial" w:eastAsia="Arial Unicode MS"/>
          <w:b/>
          <w:i w:val="0"/>
          <w:color w:val="000000"/>
          <w:sz w:val="21"/>
        </w:rPr>
        <w:t xml:space="preserve">Handoff  </w:t>
      </w:r>
      <w:r>
        <w:rPr>
          <w:rFonts w:ascii="Arial" w:hAnsi="Arial" w:cs="Arial" w:eastAsia="Arial Unicode MS"/>
          <w:b w:val="0"/>
          <w:i/>
          <w:color w:val="000000"/>
          <w:sz w:val="22"/>
        </w:rPr>
        <w:t>Robin will explain how the system handles these answers.</w:t>
      </w:r>
    </w:p>
    <w:p>
      <w:pPr>
        <w:pStyle w:val="Heading1"/>
        <w:pageBreakBefore/>
        <w:spacing w:before="0"/>
      </w:pPr>
      <w:r>
        <w:rPr>
          <w:rFonts w:ascii="Arial" w:hAnsi="Arial" w:cs="Arial" w:eastAsia="Arial Unicode MS"/>
          <w:b/>
          <w:i w:val="0"/>
          <w:color w:val="000000"/>
          <w:sz w:val="42"/>
        </w:rPr>
        <w:t>Robin Kim</w:t>
      </w:r>
    </w:p>
    <w:p>
      <w:pPr>
        <w:keepNext w:val="0"/>
        <w:spacing w:after="280" w:before="0"/>
      </w:pPr>
      <w:r>
        <w:rPr>
          <w:rFonts w:ascii="Arial" w:hAnsi="Arial" w:cs="Arial" w:eastAsia="Arial Unicode MS"/>
          <w:b w:val="0"/>
          <w:i w:val="0"/>
          <w:color w:val="444444"/>
          <w:sz w:val="21"/>
        </w:rPr>
        <w:t>Slides 6–7  ·  1:30 speaking time  ·  183 words</w:t>
      </w:r>
    </w:p>
    <w:p>
      <w:pPr>
        <w:keepNext w:val="0"/>
        <w:spacing w:after="300" w:before="0"/>
      </w:pPr>
      <w:r>
        <w:rPr>
          <w:rFonts w:ascii="Arial" w:hAnsi="Arial" w:cs="Arial" w:eastAsia="Arial Unicode MS"/>
          <w:b w:val="0"/>
          <w:i w:val="0"/>
          <w:color w:val="333333"/>
          <w:sz w:val="22"/>
        </w:rPr>
        <w:t>Explain the boundary between model proposals and deterministic application decisions, then describe evidence and correction.</w:t>
      </w:r>
    </w:p>
    <w:p>
      <w:pPr>
        <w:pStyle w:val="Heading2"/>
        <w:spacing w:before="220"/>
      </w:pPr>
      <w:r>
        <w:rPr>
          <w:rFonts w:ascii="Arial" w:hAnsi="Arial" w:cs="Arial" w:eastAsia="Arial Unicode MS"/>
          <w:b/>
          <w:i w:val="0"/>
          <w:color w:val="000000"/>
          <w:sz w:val="27"/>
        </w:rPr>
        <w:t>Slide 6  A constrained AI workflow</w:t>
      </w:r>
    </w:p>
    <w:p>
      <w:pPr>
        <w:keepNext w:val="0"/>
        <w:spacing w:after="140" w:before="0"/>
      </w:pPr>
      <w:r>
        <w:rPr>
          <w:rFonts w:ascii="Arial" w:hAnsi="Arial" w:cs="Arial" w:eastAsia="Arial Unicode MS"/>
          <w:b w:val="0"/>
          <w:i w:val="0"/>
          <w:color w:val="555555"/>
          <w:sz w:val="20"/>
        </w:rPr>
        <w:t>45 seconds</w:t>
      </w:r>
    </w:p>
    <w:p>
      <w:pPr>
        <w:keepNext w:val="0"/>
        <w:spacing w:after="180" w:before="0"/>
      </w:pPr>
      <w:r>
        <w:rPr>
          <w:rFonts w:ascii="Arial" w:hAnsi="Arial" w:cs="Arial" w:eastAsia="Arial Unicode MS"/>
          <w:b w:val="0"/>
          <w:i w:val="0"/>
          <w:color w:val="000000"/>
          <w:sz w:val="23"/>
        </w:rPr>
        <w:t>The frontend talks to a Python API that owns authentication, record state and persistence. The language model proposes structured updates; the backend decides which proposals are allowed. Extraction can fill fields from the current patient's evidence. Planning selects from eligible follow-up targets, normally one batch of at most five questions. Synthesis organises the reviewed information into a record with source references. These operations have different schemas and validation. The application does not give the model a shell or a tool for searching other patients' records.</w:t>
      </w:r>
    </w:p>
    <w:p>
      <w:pPr>
        <w:spacing w:after="160" w:line="276" w:lineRule="auto"/>
      </w:pPr>
      <w:r>
        <w:rPr>
          <w:rFonts w:ascii="Arial" w:hAnsi="Arial" w:cs="Arial" w:eastAsia="Arial Unicode MS"/>
          <w:b/>
          <w:i w:val="0"/>
          <w:color w:val="000000"/>
          <w:sz w:val="21"/>
        </w:rPr>
        <w:t xml:space="preserve">排练提示  </w:t>
      </w:r>
      <w:r>
        <w:rPr>
          <w:rFonts w:ascii="Arial" w:hAnsi="Arial" w:cs="Arial" w:eastAsia="Arial Unicode MS"/>
          <w:b w:val="0"/>
          <w:i w:val="0"/>
          <w:color w:val="444444"/>
          <w:sz w:val="21"/>
        </w:rPr>
        <w:t>沿架构图从左到右讲。提取、追问、摘要是不同操作。权限由后端控制，模型只能提出结构化候选。避免把整个系统称为可任意执行任务的 agent。</w:t>
      </w:r>
    </w:p>
    <w:p>
      <w:pPr>
        <w:pStyle w:val="Heading2"/>
        <w:spacing w:before="220"/>
      </w:pPr>
      <w:r>
        <w:rPr>
          <w:rFonts w:ascii="Arial" w:hAnsi="Arial" w:cs="Arial" w:eastAsia="Arial Unicode MS"/>
          <w:b/>
          <w:i w:val="0"/>
          <w:color w:val="000000"/>
          <w:sz w:val="27"/>
        </w:rPr>
        <w:t>Slide 7  Evidence and correction</w:t>
      </w:r>
    </w:p>
    <w:p>
      <w:pPr>
        <w:keepNext w:val="0"/>
        <w:spacing w:after="140" w:before="0"/>
      </w:pPr>
      <w:r>
        <w:rPr>
          <w:rFonts w:ascii="Arial" w:hAnsi="Arial" w:cs="Arial" w:eastAsia="Arial Unicode MS"/>
          <w:b w:val="0"/>
          <w:i w:val="0"/>
          <w:color w:val="555555"/>
          <w:sz w:val="20"/>
        </w:rPr>
        <w:t>45 seconds</w:t>
      </w:r>
    </w:p>
    <w:p>
      <w:pPr>
        <w:keepNext w:val="0"/>
        <w:spacing w:after="180" w:before="0"/>
      </w:pPr>
      <w:r>
        <w:rPr>
          <w:rFonts w:ascii="Arial" w:hAnsi="Arial" w:cs="Arial" w:eastAsia="Arial Unicode MS"/>
          <w:b w:val="0"/>
          <w:i w:val="0"/>
          <w:color w:val="000000"/>
          <w:sz w:val="23"/>
        </w:rPr>
        <w:t>A well-formed answer is not automatically a correct answer. We check whether extracted details have a source in the relevant patient's input, and whether follow-up targets and summary references are valid. We preserve uncertainty rather than turning an unanswered question into a negative finding. When the patient corrects a source, dependent information must be reconsidered, and approval applies to a specific record version. These checks make important failures observable. They do not prove that every sentence is medically or semantically correct, so the patient and clinician still review the output.</w:t>
      </w:r>
    </w:p>
    <w:p>
      <w:pPr>
        <w:spacing w:after="160" w:line="276" w:lineRule="auto"/>
      </w:pPr>
      <w:r>
        <w:rPr>
          <w:rFonts w:ascii="Arial" w:hAnsi="Arial" w:cs="Arial" w:eastAsia="Arial Unicode MS"/>
          <w:b/>
          <w:i w:val="0"/>
          <w:color w:val="000000"/>
          <w:sz w:val="21"/>
        </w:rPr>
        <w:t xml:space="preserve">排练提示  </w:t>
      </w:r>
      <w:r>
        <w:rPr>
          <w:rFonts w:ascii="Arial" w:hAnsi="Arial" w:cs="Arial" w:eastAsia="Arial Unicode MS"/>
          <w:b w:val="0"/>
          <w:i w:val="0"/>
          <w:color w:val="444444"/>
          <w:sz w:val="21"/>
        </w:rPr>
        <w:t>用“JSON 合法不代表事实正确”开头。区分来源存在与语义完全正确。不要说系统能验证所有事实，也不要把已记录比例说成临床完整度。</w:t>
      </w:r>
    </w:p>
    <w:p>
      <w:pPr>
        <w:spacing w:after="120"/>
      </w:pPr>
      <w:r>
        <w:rPr>
          <w:rFonts w:ascii="Arial" w:hAnsi="Arial" w:cs="Arial" w:eastAsia="Arial Unicode MS"/>
          <w:b/>
          <w:i w:val="0"/>
          <w:color w:val="000000"/>
          <w:sz w:val="21"/>
        </w:rPr>
        <w:t xml:space="preserve">Handoff  </w:t>
      </w:r>
      <w:r>
        <w:rPr>
          <w:rFonts w:ascii="Arial" w:hAnsi="Arial" w:cs="Arial" w:eastAsia="Arial Unicode MS"/>
          <w:b w:val="0"/>
          <w:i/>
          <w:color w:val="000000"/>
          <w:sz w:val="22"/>
        </w:rPr>
        <w:t>Haobo will show the approval and access boundaries.</w:t>
      </w:r>
    </w:p>
    <w:p>
      <w:pPr>
        <w:pStyle w:val="Heading1"/>
        <w:pageBreakBefore/>
        <w:spacing w:before="0"/>
      </w:pPr>
      <w:r>
        <w:rPr>
          <w:rFonts w:ascii="Arial" w:hAnsi="Arial" w:cs="Arial" w:eastAsia="Arial Unicode MS"/>
          <w:b/>
          <w:i w:val="0"/>
          <w:color w:val="000000"/>
          <w:sz w:val="42"/>
        </w:rPr>
        <w:t>Haobo Wang</w:t>
      </w:r>
    </w:p>
    <w:p>
      <w:pPr>
        <w:keepNext w:val="0"/>
        <w:spacing w:after="280" w:before="0"/>
      </w:pPr>
      <w:r>
        <w:rPr>
          <w:rFonts w:ascii="Arial" w:hAnsi="Arial" w:cs="Arial" w:eastAsia="Arial Unicode MS"/>
          <w:b w:val="0"/>
          <w:i w:val="0"/>
          <w:color w:val="444444"/>
          <w:sz w:val="21"/>
        </w:rPr>
        <w:t>Slides 8–9  ·  1:30 speaking time  ·  178 words</w:t>
      </w:r>
    </w:p>
    <w:p>
      <w:pPr>
        <w:keepNext w:val="0"/>
        <w:spacing w:after="300" w:before="0"/>
      </w:pPr>
      <w:r>
        <w:rPr>
          <w:rFonts w:ascii="Arial" w:hAnsi="Arial" w:cs="Arial" w:eastAsia="Arial Unicode MS"/>
          <w:b w:val="0"/>
          <w:i w:val="0"/>
          <w:color w:val="333333"/>
          <w:sz w:val="22"/>
        </w:rPr>
        <w:t>Show the controlled handoff and explain what the security tests do and do not establish.</w:t>
      </w:r>
    </w:p>
    <w:p>
      <w:pPr>
        <w:pStyle w:val="Heading2"/>
        <w:spacing w:before="220"/>
      </w:pPr>
      <w:r>
        <w:rPr>
          <w:rFonts w:ascii="Arial" w:hAnsi="Arial" w:cs="Arial" w:eastAsia="Arial Unicode MS"/>
          <w:b/>
          <w:i w:val="0"/>
          <w:color w:val="000000"/>
          <w:sz w:val="27"/>
        </w:rPr>
        <w:t>Slide 8  The patient controls the handoff</w:t>
      </w:r>
    </w:p>
    <w:p>
      <w:pPr>
        <w:keepNext w:val="0"/>
        <w:spacing w:after="140" w:before="0"/>
      </w:pPr>
      <w:r>
        <w:rPr>
          <w:rFonts w:ascii="Arial" w:hAnsi="Arial" w:cs="Arial" w:eastAsia="Arial Unicode MS"/>
          <w:b w:val="0"/>
          <w:i w:val="0"/>
          <w:color w:val="555555"/>
          <w:sz w:val="20"/>
        </w:rPr>
        <w:t>40 seconds</w:t>
      </w:r>
    </w:p>
    <w:p>
      <w:pPr>
        <w:keepNext w:val="0"/>
        <w:spacing w:after="180" w:before="0"/>
      </w:pPr>
      <w:r>
        <w:rPr>
          <w:rFonts w:ascii="Arial" w:hAnsi="Arial" w:cs="Arial" w:eastAsia="Arial Unicode MS"/>
          <w:b w:val="0"/>
          <w:i w:val="0"/>
          <w:color w:val="000000"/>
          <w:sz w:val="23"/>
        </w:rPr>
        <w:t>The review screen separates the factual preparation record from the preliminary AI assessment. The patient checks the content, selects a registered doctor's email, and explicitly approves sharing. The doctor then sees the authorised record and its supporting material. A draft is not automatically placed in the doctor's queue. The patient can withdraw access, and edits require the current version to be reviewed again. This gives the handoff a clear owner, recipient and approval point.</w:t>
      </w:r>
    </w:p>
    <w:p>
      <w:pPr>
        <w:spacing w:after="160" w:line="276" w:lineRule="auto"/>
      </w:pPr>
      <w:r>
        <w:rPr>
          <w:rFonts w:ascii="Arial" w:hAnsi="Arial" w:cs="Arial" w:eastAsia="Arial Unicode MS"/>
          <w:b/>
          <w:i w:val="0"/>
          <w:color w:val="000000"/>
          <w:sz w:val="21"/>
        </w:rPr>
        <w:t xml:space="preserve">排练提示  </w:t>
      </w:r>
      <w:r>
        <w:rPr>
          <w:rFonts w:ascii="Arial" w:hAnsi="Arial" w:cs="Arial" w:eastAsia="Arial Unicode MS"/>
          <w:b w:val="0"/>
          <w:i w:val="0"/>
          <w:color w:val="444444"/>
          <w:sz w:val="21"/>
        </w:rPr>
        <w:t>指向医生邮箱与批准复选框，再展示医生端。不要在正式展示中发送真实邮件。撤回是取消系统里的后续访问，不是远程删除医生已下载的副本。</w:t>
      </w:r>
    </w:p>
    <w:p>
      <w:pPr>
        <w:pStyle w:val="Heading2"/>
        <w:spacing w:before="220"/>
      </w:pPr>
      <w:r>
        <w:rPr>
          <w:rFonts w:ascii="Arial" w:hAnsi="Arial" w:cs="Arial" w:eastAsia="Arial Unicode MS"/>
          <w:b/>
          <w:i w:val="0"/>
          <w:color w:val="000000"/>
          <w:sz w:val="27"/>
        </w:rPr>
        <w:t>Slide 9  Security boundaries under attack</w:t>
      </w:r>
    </w:p>
    <w:p>
      <w:pPr>
        <w:keepNext w:val="0"/>
        <w:spacing w:after="140" w:before="0"/>
      </w:pPr>
      <w:r>
        <w:rPr>
          <w:rFonts w:ascii="Arial" w:hAnsi="Arial" w:cs="Arial" w:eastAsia="Arial Unicode MS"/>
          <w:b w:val="0"/>
          <w:i w:val="0"/>
          <w:color w:val="555555"/>
          <w:sz w:val="20"/>
        </w:rPr>
        <w:t>50 seconds</w:t>
      </w:r>
    </w:p>
    <w:p>
      <w:pPr>
        <w:keepNext w:val="0"/>
        <w:spacing w:after="180" w:before="0"/>
      </w:pPr>
      <w:r>
        <w:rPr>
          <w:rFonts w:ascii="Arial" w:hAnsi="Arial" w:cs="Arial" w:eastAsia="Arial Unicode MS"/>
          <w:b w:val="0"/>
          <w:i w:val="0"/>
          <w:color w:val="000000"/>
          <w:sz w:val="23"/>
        </w:rPr>
        <w:t>We tested the boundaries with requests such as deleting the system and obtaining another patient's information. The model has no operating-system execution capability, and record access is checked by authenticated backend routes. Our access tests cover different patients, unassigned doctors, attachments and revoked sharing. We also sent two malicious narratives to the live extraction model, in English and Chinese. It returned supported knee-symptom details, while the patient owner stayed unchanged. That live check had no connected database. It supports a narrow observation; it is not a claim that prompt injection or data leakage is impossible.</w:t>
      </w:r>
    </w:p>
    <w:p>
      <w:pPr>
        <w:spacing w:after="160" w:line="276" w:lineRule="auto"/>
      </w:pPr>
      <w:r>
        <w:rPr>
          <w:rFonts w:ascii="Arial" w:hAnsi="Arial" w:cs="Arial" w:eastAsia="Arial Unicode MS"/>
          <w:b/>
          <w:i w:val="0"/>
          <w:color w:val="000000"/>
          <w:sz w:val="21"/>
        </w:rPr>
        <w:t xml:space="preserve">排练提示  </w:t>
      </w:r>
      <w:r>
        <w:rPr>
          <w:rFonts w:ascii="Arial" w:hAnsi="Arial" w:cs="Arial" w:eastAsia="Arial Unicode MS"/>
          <w:b w:val="0"/>
          <w:i w:val="0"/>
          <w:color w:val="444444"/>
          <w:sz w:val="21"/>
        </w:rPr>
        <w:t>把 API 越权测试和两条真实模型提取测试分开说。不能说“永远无法攻破”。如果被问其他人的病历，回答模型没有检索工具，服务器也必须验证授权。</w:t>
      </w:r>
    </w:p>
    <w:p>
      <w:pPr>
        <w:spacing w:after="120"/>
      </w:pPr>
      <w:r>
        <w:rPr>
          <w:rFonts w:ascii="Arial" w:hAnsi="Arial" w:cs="Arial" w:eastAsia="Arial Unicode MS"/>
          <w:b/>
          <w:i w:val="0"/>
          <w:color w:val="000000"/>
          <w:sz w:val="21"/>
        </w:rPr>
        <w:t xml:space="preserve">Handoff  </w:t>
      </w:r>
      <w:r>
        <w:rPr>
          <w:rFonts w:ascii="Arial" w:hAnsi="Arial" w:cs="Arial" w:eastAsia="Arial Unicode MS"/>
          <w:b w:val="0"/>
          <w:i/>
          <w:color w:val="000000"/>
          <w:sz w:val="22"/>
        </w:rPr>
        <w:t>Hengyu will explain the test evidence and remaining limits.</w:t>
      </w:r>
    </w:p>
    <w:p>
      <w:pPr>
        <w:pStyle w:val="Heading1"/>
        <w:pageBreakBefore/>
        <w:spacing w:before="0"/>
      </w:pPr>
      <w:r>
        <w:rPr>
          <w:rFonts w:ascii="Arial" w:hAnsi="Arial" w:cs="Arial" w:eastAsia="Arial Unicode MS"/>
          <w:b/>
          <w:i w:val="0"/>
          <w:color w:val="000000"/>
          <w:sz w:val="42"/>
        </w:rPr>
        <w:t>Hengyu Wang</w:t>
      </w:r>
    </w:p>
    <w:p>
      <w:pPr>
        <w:keepNext w:val="0"/>
        <w:spacing w:after="280" w:before="0"/>
      </w:pPr>
      <w:r>
        <w:rPr>
          <w:rFonts w:ascii="Arial" w:hAnsi="Arial" w:cs="Arial" w:eastAsia="Arial Unicode MS"/>
          <w:b w:val="0"/>
          <w:i w:val="0"/>
          <w:color w:val="444444"/>
          <w:sz w:val="21"/>
        </w:rPr>
        <w:t>Slides 10–12  ·  1:35 speaking time  ·  203 words</w:t>
      </w:r>
    </w:p>
    <w:p>
      <w:pPr>
        <w:keepNext w:val="0"/>
        <w:spacing w:after="300" w:before="0"/>
      </w:pPr>
      <w:r>
        <w:rPr>
          <w:rFonts w:ascii="Arial" w:hAnsi="Arial" w:cs="Arial" w:eastAsia="Arial Unicode MS"/>
          <w:b w:val="0"/>
          <w:i w:val="0"/>
          <w:color w:val="333333"/>
          <w:sz w:val="22"/>
        </w:rPr>
        <w:t>Present test evidence and the measured latency comparison, then close with clear limits and next steps.</w:t>
      </w:r>
    </w:p>
    <w:p>
      <w:pPr>
        <w:pStyle w:val="Heading2"/>
        <w:spacing w:before="220"/>
      </w:pPr>
      <w:r>
        <w:rPr>
          <w:rFonts w:ascii="Arial" w:hAnsi="Arial" w:cs="Arial" w:eastAsia="Arial Unicode MS"/>
          <w:b/>
          <w:i w:val="0"/>
          <w:color w:val="000000"/>
          <w:sz w:val="27"/>
        </w:rPr>
        <w:t>Slide 10  Tests that can be repeated</w:t>
      </w:r>
    </w:p>
    <w:p>
      <w:pPr>
        <w:keepNext w:val="0"/>
        <w:spacing w:after="140" w:before="0"/>
      </w:pPr>
      <w:r>
        <w:rPr>
          <w:rFonts w:ascii="Arial" w:hAnsi="Arial" w:cs="Arial" w:eastAsia="Arial Unicode MS"/>
          <w:b w:val="0"/>
          <w:i w:val="0"/>
          <w:color w:val="555555"/>
          <w:sz w:val="20"/>
        </w:rPr>
        <w:t>45 seconds</w:t>
      </w:r>
    </w:p>
    <w:p>
      <w:pPr>
        <w:keepNext w:val="0"/>
        <w:spacing w:after="180" w:before="0"/>
      </w:pPr>
      <w:r>
        <w:rPr>
          <w:rFonts w:ascii="Arial" w:hAnsi="Arial" w:cs="Arial" w:eastAsia="Arial Unicode MS"/>
          <w:b w:val="0"/>
          <w:i w:val="0"/>
          <w:color w:val="000000"/>
          <w:sz w:val="23"/>
        </w:rPr>
        <w:t>Our demonstration uses fictional patients and a separate test database. The first case exercises knee location, symptom timing, uncertainty and controlled sharing. The second discusses home blood-pressure readings, including an uploaded table, without forcing unrelated symptom questions. All 748 backend and 107 frontend tests passed. The 266 security tests are part of the backend total. Browser checks exercise the interface, including mobile layout and language changes. We distinguish deterministic screenshots, where model responses are controlled, from the small live-model experiment. That makes the evidence repeatable and prevents a polished demonstration from being mistaken for clinical validation.</w:t>
      </w:r>
    </w:p>
    <w:p>
      <w:pPr>
        <w:spacing w:after="160" w:line="276" w:lineRule="auto"/>
      </w:pPr>
      <w:r>
        <w:rPr>
          <w:rFonts w:ascii="Arial" w:hAnsi="Arial" w:cs="Arial" w:eastAsia="Arial Unicode MS"/>
          <w:b/>
          <w:i w:val="0"/>
          <w:color w:val="000000"/>
          <w:sz w:val="21"/>
        </w:rPr>
        <w:t xml:space="preserve">排练提示  </w:t>
      </w:r>
      <w:r>
        <w:rPr>
          <w:rFonts w:ascii="Arial" w:hAnsi="Arial" w:cs="Arial" w:eastAsia="Arial Unicode MS"/>
          <w:b w:val="0"/>
          <w:i w:val="0"/>
          <w:color w:val="444444"/>
          <w:sz w:val="21"/>
        </w:rPr>
        <w:t>先说两个测试病例及目的，再介绍分层验证。数字按 PPT 最新证据读，不把单元测试数量说成患者样本数量。浏览器截图里的 AI 内容是受控数据。</w:t>
      </w:r>
    </w:p>
    <w:p>
      <w:pPr>
        <w:pStyle w:val="Heading2"/>
        <w:spacing w:before="220"/>
      </w:pPr>
      <w:r>
        <w:rPr>
          <w:rFonts w:ascii="Arial" w:hAnsi="Arial" w:cs="Arial" w:eastAsia="Arial Unicode MS"/>
          <w:b/>
          <w:i w:val="0"/>
          <w:color w:val="000000"/>
          <w:sz w:val="27"/>
        </w:rPr>
        <w:t>Slide 11  Model choice and measured response time</w:t>
      </w:r>
    </w:p>
    <w:p>
      <w:pPr>
        <w:keepNext w:val="0"/>
        <w:spacing w:after="140" w:before="0"/>
      </w:pPr>
      <w:r>
        <w:rPr>
          <w:rFonts w:ascii="Arial" w:hAnsi="Arial" w:cs="Arial" w:eastAsia="Arial Unicode MS"/>
          <w:b w:val="0"/>
          <w:i w:val="0"/>
          <w:color w:val="555555"/>
          <w:sz w:val="20"/>
        </w:rPr>
        <w:t>25 seconds</w:t>
      </w:r>
    </w:p>
    <w:p>
      <w:pPr>
        <w:keepNext w:val="0"/>
        <w:spacing w:after="180" w:before="0"/>
      </w:pPr>
      <w:r>
        <w:rPr>
          <w:rFonts w:ascii="Arial" w:hAnsi="Arial" w:cs="Arial" w:eastAsia="Arial Unicode MS"/>
          <w:b w:val="0"/>
          <w:i w:val="0"/>
          <w:color w:val="000000"/>
          <w:sz w:val="23"/>
        </w:rPr>
        <w:t>New preparations default to Sol; extraction uses low effort, final reports use medium. Across three paired extraction examples, its median response time was about 7.7 seconds, compared with 13.1 seconds for the previous Astra configuration. This compares those configurations on a small sample. It is not an end-to-end latency guarantee or a quality ranking.</w:t>
      </w:r>
    </w:p>
    <w:p>
      <w:pPr>
        <w:spacing w:after="160" w:line="276" w:lineRule="auto"/>
      </w:pPr>
      <w:r>
        <w:rPr>
          <w:rFonts w:ascii="Arial" w:hAnsi="Arial" w:cs="Arial" w:eastAsia="Arial Unicode MS"/>
          <w:b/>
          <w:i w:val="0"/>
          <w:color w:val="000000"/>
          <w:sz w:val="21"/>
        </w:rPr>
        <w:t xml:space="preserve">排练提示  </w:t>
      </w:r>
      <w:r>
        <w:rPr>
          <w:rFonts w:ascii="Arial" w:hAnsi="Arial" w:cs="Arial" w:eastAsia="Arial Unicode MS"/>
          <w:b w:val="0"/>
          <w:i w:val="0"/>
          <w:color w:val="444444"/>
          <w:sz w:val="21"/>
        </w:rPr>
        <w:t>说明新就诊准备默认Sol，提取low、最终报告medium。说 approximately 7.7 和 13.1，不读三位小数。每模型仅3个样本，不能推广成任何任务都快或效果相同。</w:t>
      </w:r>
    </w:p>
    <w:p>
      <w:pPr>
        <w:pStyle w:val="Heading2"/>
        <w:spacing w:before="220"/>
      </w:pPr>
      <w:r>
        <w:rPr>
          <w:rFonts w:ascii="Arial" w:hAnsi="Arial" w:cs="Arial" w:eastAsia="Arial Unicode MS"/>
          <w:b/>
          <w:i w:val="0"/>
          <w:color w:val="000000"/>
          <w:sz w:val="27"/>
        </w:rPr>
        <w:t>Slide 12  What we have built and what comes next</w:t>
      </w:r>
    </w:p>
    <w:p>
      <w:pPr>
        <w:keepNext w:val="0"/>
        <w:spacing w:after="140" w:before="0"/>
      </w:pPr>
      <w:r>
        <w:rPr>
          <w:rFonts w:ascii="Arial" w:hAnsi="Arial" w:cs="Arial" w:eastAsia="Arial Unicode MS"/>
          <w:b w:val="0"/>
          <w:i w:val="0"/>
          <w:color w:val="555555"/>
          <w:sz w:val="20"/>
        </w:rPr>
        <w:t>25 seconds</w:t>
      </w:r>
    </w:p>
    <w:p>
      <w:pPr>
        <w:keepNext w:val="0"/>
        <w:spacing w:after="180" w:before="0"/>
      </w:pPr>
      <w:r>
        <w:rPr>
          <w:rFonts w:ascii="Arial" w:hAnsi="Arial" w:cs="Arial" w:eastAsia="Arial Unicode MS"/>
          <w:b w:val="0"/>
          <w:i w:val="0"/>
          <w:color w:val="000000"/>
          <w:sz w:val="23"/>
        </w:rPr>
        <w:t>PreConsult combines guided input, structured symptom history, traceable AI output and patient-approved sharing. Registration verifies email ownership, not medical licensure. Next come broader adversarial tests, clinician-reviewed quality evaluation and usability sessions with representative users. The evidence supports the implemented workflow, not a medical effectiveness claim. Thank you. We welcome your questions.</w:t>
      </w:r>
    </w:p>
    <w:p>
      <w:pPr>
        <w:spacing w:after="160" w:line="276" w:lineRule="auto"/>
      </w:pPr>
      <w:r>
        <w:rPr>
          <w:rFonts w:ascii="Arial" w:hAnsi="Arial" w:cs="Arial" w:eastAsia="Arial Unicode MS"/>
          <w:b/>
          <w:i w:val="0"/>
          <w:color w:val="000000"/>
          <w:sz w:val="21"/>
        </w:rPr>
        <w:t xml:space="preserve">排练提示  </w:t>
      </w:r>
      <w:r>
        <w:rPr>
          <w:rFonts w:ascii="Arial" w:hAnsi="Arial" w:cs="Arial" w:eastAsia="Arial Unicode MS"/>
          <w:b w:val="0"/>
          <w:i w:val="0"/>
          <w:color w:val="444444"/>
          <w:sz w:val="21"/>
        </w:rPr>
        <w:t>明确注册只验证邮箱，不验证行医资质；后续仍需临床质量与真实用户验证。说完 Thank you 后停下，不继续重复功能。问答时任何成员都可能被点名。</w:t>
      </w:r>
    </w:p>
    <w:p>
      <w:pPr>
        <w:pStyle w:val="Heading1"/>
        <w:pageBreakBefore/>
        <w:spacing w:before="0"/>
      </w:pPr>
      <w:r>
        <w:rPr>
          <w:rFonts w:ascii="Arial" w:hAnsi="Arial" w:cs="Arial" w:eastAsia="Arial Unicode MS"/>
          <w:b/>
          <w:i w:val="0"/>
          <w:color w:val="000000"/>
          <w:sz w:val="42"/>
        </w:rPr>
        <w:t>Demo operation and fallback</w:t>
      </w:r>
    </w:p>
    <w:p>
      <w:pPr>
        <w:keepNext w:val="0"/>
        <w:spacing w:after="260" w:before="0"/>
      </w:pPr>
      <w:r>
        <w:rPr>
          <w:rFonts w:ascii="Arial" w:hAnsi="Arial" w:cs="Arial" w:eastAsia="Arial Unicode MS"/>
          <w:b w:val="0"/>
          <w:i w:val="0"/>
          <w:color w:val="000000"/>
          <w:sz w:val="23"/>
        </w:rPr>
        <w:t>The main deck contains captured screens so the eight-minute presentation can run without waiting for a network request. A short live demonstration is optional and should use only the isolated synthetic account.</w:t>
      </w:r>
    </w:p>
    <w:p>
      <w:pPr>
        <w:pStyle w:val="Heading2"/>
        <w:spacing w:before="220"/>
      </w:pPr>
      <w:r>
        <w:rPr>
          <w:rFonts w:ascii="Arial" w:hAnsi="Arial" w:cs="Arial" w:eastAsia="Arial Unicode MS"/>
          <w:b/>
          <w:i w:val="0"/>
          <w:color w:val="000000"/>
          <w:sz w:val="27"/>
        </w:rPr>
        <w:t>Before the session</w:t>
      </w:r>
    </w:p>
    <w:p>
      <w:pPr>
        <w:keepNext w:val="0"/>
        <w:spacing w:after="160" w:before="0"/>
      </w:pPr>
      <w:r>
        <w:rPr>
          <w:rFonts w:ascii="Arial" w:hAnsi="Arial" w:cs="Arial" w:eastAsia="Arial Unicode MS"/>
          <w:b w:val="0"/>
          <w:i w:val="0"/>
          <w:color w:val="000000"/>
          <w:sz w:val="22"/>
        </w:rPr>
        <w:t>1. Open the final PPTX locally and confirm its fonts and images on the presentation computer. Keep a PDF copy available if the slide application fails.</w:t>
      </w:r>
    </w:p>
    <w:p>
      <w:pPr>
        <w:keepNext w:val="0"/>
        <w:spacing w:after="160" w:before="0"/>
      </w:pPr>
      <w:r>
        <w:rPr>
          <w:rFonts w:ascii="Arial" w:hAnsi="Arial" w:cs="Arial" w:eastAsia="Arial Unicode MS"/>
          <w:b w:val="0"/>
          <w:i w:val="0"/>
          <w:color w:val="000000"/>
          <w:sz w:val="22"/>
        </w:rPr>
        <w:t>2. Agree who advances slides. Put the patient and doctor demo in separate prepared browser contexts so the team does not sign in or type a password on stage.</w:t>
      </w:r>
    </w:p>
    <w:p>
      <w:pPr>
        <w:keepNext w:val="0"/>
        <w:spacing w:after="160" w:before="0"/>
      </w:pPr>
      <w:r>
        <w:rPr>
          <w:rFonts w:ascii="Arial" w:hAnsi="Arial" w:cs="Arial" w:eastAsia="Arial Unicode MS"/>
          <w:b w:val="0"/>
          <w:i w:val="0"/>
          <w:color w:val="000000"/>
          <w:sz w:val="22"/>
        </w:rPr>
        <w:t>3. Confirm the two fictional cases, model setting and language before presenting. Keep the case guide open privately for recovery, not on the projected screen.</w:t>
      </w:r>
    </w:p>
    <w:p>
      <w:pPr>
        <w:keepNext w:val="0"/>
        <w:spacing w:after="160" w:before="0"/>
      </w:pPr>
      <w:r>
        <w:rPr>
          <w:rFonts w:ascii="Arial" w:hAnsi="Arial" w:cs="Arial" w:eastAsia="Arial Unicode MS"/>
          <w:b w:val="0"/>
          <w:i w:val="0"/>
          <w:color w:val="000000"/>
          <w:sz w:val="22"/>
        </w:rPr>
        <w:t>4. Close unrelated browser tabs, notifications and terminals containing configuration. Never display API keys, email verification codes or real patient records.</w:t>
      </w:r>
    </w:p>
    <w:p>
      <w:pPr>
        <w:pStyle w:val="Heading2"/>
        <w:spacing w:before="220"/>
      </w:pPr>
      <w:r>
        <w:rPr>
          <w:rFonts w:ascii="Arial" w:hAnsi="Arial" w:cs="Arial" w:eastAsia="Arial Unicode MS"/>
          <w:b/>
          <w:i w:val="0"/>
          <w:color w:val="000000"/>
          <w:sz w:val="27"/>
        </w:rPr>
        <w:t>If a brief live walkthrough is included</w:t>
      </w:r>
    </w:p>
    <w:tbl>
      <w:tblPr>
        <w:tblW w:type="auto" w:w="0"/>
        <w:jc w:val="center"/>
        <w:tblLayout w:type="fixed"/>
        <w:tblLook w:firstColumn="1" w:firstRow="1" w:lastColumn="0" w:lastRow="0" w:noHBand="0" w:noVBand="1" w:val="04A0"/>
      </w:tblPr>
      <w:tblGrid>
        <w:gridCol w:w="1584"/>
        <w:gridCol w:w="3960"/>
        <w:gridCol w:w="3744"/>
      </w:tblGrid>
      <w:tr>
        <w:trPr>
          <w:tblHeader/>
        </w:trPr>
        <w:tc>
          <w:tcPr>
            <w:tcW w:type="dxa" w:w="1584"/>
            <w:vAlign w:val="center"/>
            <w:tcMar>
              <w:top w:w="110" w:type="dxa"/>
              <w:left w:w="110" w:type="dxa"/>
              <w:bottom w:w="110" w:type="dxa"/>
              <w:right w:w="110" w:type="dxa"/>
            </w:tcMar>
            <w:tcBorders>
              <w:top w:val="single" w:sz="4" w:color="D9D9D9"/>
              <w:left w:val="single" w:sz="4" w:color="D9D9D9"/>
              <w:bottom w:val="single" w:sz="4" w:color="D9D9D9"/>
              <w:right w:val="single" w:sz="4" w:color="D9D9D9"/>
            </w:tcBorders>
            <w:shd w:fill="333333"/>
          </w:tcPr>
          <w:p>
            <w:pPr>
              <w:spacing w:after="0" w:line="276" w:lineRule="auto"/>
            </w:pPr>
            <w:r>
              <w:rPr>
                <w:rFonts w:ascii="Arial" w:hAnsi="Arial" w:cs="Arial" w:eastAsia="Arial Unicode MS"/>
                <w:b/>
                <w:i w:val="0"/>
                <w:color w:val="FFFFFF"/>
                <w:sz w:val="21"/>
              </w:rPr>
              <w:t>Action</w:t>
            </w:r>
          </w:p>
        </w:tc>
        <w:tc>
          <w:tcPr>
            <w:tcW w:type="dxa" w:w="3960"/>
            <w:vAlign w:val="center"/>
            <w:tcMar>
              <w:top w:w="110" w:type="dxa"/>
              <w:left w:w="110" w:type="dxa"/>
              <w:bottom w:w="110" w:type="dxa"/>
              <w:right w:w="110" w:type="dxa"/>
            </w:tcMar>
            <w:tcBorders>
              <w:top w:val="single" w:sz="4" w:color="D9D9D9"/>
              <w:left w:val="single" w:sz="4" w:color="D9D9D9"/>
              <w:bottom w:val="single" w:sz="4" w:color="D9D9D9"/>
              <w:right w:val="single" w:sz="4" w:color="D9D9D9"/>
            </w:tcBorders>
            <w:shd w:fill="333333"/>
          </w:tcPr>
          <w:p>
            <w:pPr>
              <w:spacing w:after="0" w:line="276" w:lineRule="auto"/>
              <w:jc w:val="center"/>
            </w:pPr>
            <w:r>
              <w:rPr>
                <w:rFonts w:ascii="Arial" w:hAnsi="Arial" w:cs="Arial" w:eastAsia="Arial Unicode MS"/>
                <w:b/>
                <w:i w:val="0"/>
                <w:color w:val="FFFFFF"/>
                <w:sz w:val="21"/>
              </w:rPr>
              <w:t>Show or say</w:t>
            </w:r>
          </w:p>
        </w:tc>
        <w:tc>
          <w:tcPr>
            <w:tcW w:type="dxa" w:w="3744"/>
            <w:vAlign w:val="center"/>
            <w:tcMar>
              <w:top w:w="110" w:type="dxa"/>
              <w:left w:w="110" w:type="dxa"/>
              <w:bottom w:w="110" w:type="dxa"/>
              <w:right w:w="110" w:type="dxa"/>
            </w:tcMar>
            <w:tcBorders>
              <w:top w:val="single" w:sz="4" w:color="D9D9D9"/>
              <w:left w:val="single" w:sz="4" w:color="D9D9D9"/>
              <w:bottom w:val="single" w:sz="4" w:color="D9D9D9"/>
              <w:right w:val="single" w:sz="4" w:color="D9D9D9"/>
            </w:tcBorders>
            <w:shd w:fill="333333"/>
          </w:tcPr>
          <w:p>
            <w:pPr>
              <w:spacing w:after="0" w:line="276" w:lineRule="auto"/>
              <w:jc w:val="center"/>
            </w:pPr>
            <w:r>
              <w:rPr>
                <w:rFonts w:ascii="Arial" w:hAnsi="Arial" w:cs="Arial" w:eastAsia="Arial Unicode MS"/>
                <w:b/>
                <w:i w:val="0"/>
                <w:color w:val="FFFFFF"/>
                <w:sz w:val="21"/>
              </w:rPr>
              <w:t>Fallback</w:t>
            </w:r>
          </w:p>
        </w:tc>
      </w:tr>
      <w:tr>
        <w:tc>
          <w:tcPr>
            <w:tcW w:type="dxa" w:w="1584"/>
            <w:vAlign w:val="center"/>
            <w:tcMar>
              <w:top w:w="110" w:type="dxa"/>
              <w:left w:w="110" w:type="dxa"/>
              <w:bottom w:w="110" w:type="dxa"/>
              <w:right w:w="110" w:type="dxa"/>
            </w:tcMar>
            <w:tcBorders>
              <w:top w:val="single" w:sz="4" w:color="D9D9D9"/>
              <w:left w:val="single" w:sz="4" w:color="D9D9D9"/>
              <w:bottom w:val="single" w:sz="4" w:color="D9D9D9"/>
              <w:right w:val="single" w:sz="4" w:color="D9D9D9"/>
            </w:tcBorders>
            <w:shd w:fill="FFFFFF"/>
          </w:tcPr>
          <w:p>
            <w:pPr>
              <w:spacing w:after="0" w:line="276" w:lineRule="auto"/>
            </w:pPr>
            <w:r>
              <w:rPr>
                <w:rFonts w:ascii="Arial" w:hAnsi="Arial" w:cs="Arial" w:eastAsia="Arial Unicode MS"/>
                <w:b w:val="0"/>
                <w:i w:val="0"/>
                <w:color w:val="000000"/>
                <w:sz w:val="21"/>
              </w:rPr>
              <w:t>Select knees</w:t>
            </w:r>
          </w:p>
        </w:tc>
        <w:tc>
          <w:tcPr>
            <w:tcW w:type="dxa" w:w="3960"/>
            <w:vAlign w:val="center"/>
            <w:tcMar>
              <w:top w:w="110" w:type="dxa"/>
              <w:left w:w="110" w:type="dxa"/>
              <w:bottom w:w="110" w:type="dxa"/>
              <w:right w:w="110" w:type="dxa"/>
            </w:tcMar>
            <w:tcBorders>
              <w:top w:val="single" w:sz="4" w:color="D9D9D9"/>
              <w:left w:val="single" w:sz="4" w:color="D9D9D9"/>
              <w:bottom w:val="single" w:sz="4" w:color="D9D9D9"/>
              <w:right w:val="single" w:sz="4" w:color="D9D9D9"/>
            </w:tcBorders>
            <w:shd w:fill="FFFFFF"/>
          </w:tcPr>
          <w:p>
            <w:pPr>
              <w:spacing w:after="0" w:line="276" w:lineRule="auto"/>
              <w:jc w:val="center"/>
            </w:pPr>
            <w:r>
              <w:rPr>
                <w:rFonts w:ascii="Arial" w:hAnsi="Arial" w:cs="Arial" w:eastAsia="Arial Unicode MS"/>
                <w:b w:val="0"/>
                <w:i w:val="0"/>
                <w:color w:val="000000"/>
                <w:sz w:val="21"/>
              </w:rPr>
              <w:t>Open TC01 and show both knee selections.</w:t>
            </w:r>
          </w:p>
        </w:tc>
        <w:tc>
          <w:tcPr>
            <w:tcW w:type="dxa" w:w="3744"/>
            <w:vAlign w:val="center"/>
            <w:tcMar>
              <w:top w:w="110" w:type="dxa"/>
              <w:left w:w="110" w:type="dxa"/>
              <w:bottom w:w="110" w:type="dxa"/>
              <w:right w:w="110" w:type="dxa"/>
            </w:tcMar>
            <w:tcBorders>
              <w:top w:val="single" w:sz="4" w:color="D9D9D9"/>
              <w:left w:val="single" w:sz="4" w:color="D9D9D9"/>
              <w:bottom w:val="single" w:sz="4" w:color="D9D9D9"/>
              <w:right w:val="single" w:sz="4" w:color="D9D9D9"/>
            </w:tcBorders>
            <w:shd w:fill="FFFFFF"/>
          </w:tcPr>
          <w:p>
            <w:pPr>
              <w:spacing w:after="0" w:line="276" w:lineRule="auto"/>
              <w:jc w:val="center"/>
            </w:pPr>
            <w:r>
              <w:rPr>
                <w:rFonts w:ascii="Arial" w:hAnsi="Arial" w:cs="Arial" w:eastAsia="Arial Unicode MS"/>
                <w:b w:val="0"/>
                <w:i w:val="0"/>
                <w:color w:val="000000"/>
                <w:sz w:val="21"/>
              </w:rPr>
              <w:t>Use slide 3 or the body-map capture.</w:t>
            </w:r>
          </w:p>
        </w:tc>
      </w:tr>
      <w:tr>
        <w:tc>
          <w:tcPr>
            <w:tcW w:type="dxa" w:w="1584"/>
            <w:vAlign w:val="center"/>
            <w:tcMar>
              <w:top w:w="110" w:type="dxa"/>
              <w:left w:w="110" w:type="dxa"/>
              <w:bottom w:w="110" w:type="dxa"/>
              <w:right w:w="110" w:type="dxa"/>
            </w:tcMar>
            <w:tcBorders>
              <w:top w:val="single" w:sz="4" w:color="D9D9D9"/>
              <w:left w:val="single" w:sz="4" w:color="D9D9D9"/>
              <w:bottom w:val="single" w:sz="4" w:color="D9D9D9"/>
              <w:right w:val="single" w:sz="4" w:color="D9D9D9"/>
            </w:tcBorders>
            <w:shd w:fill="F6F6F6"/>
          </w:tcPr>
          <w:p>
            <w:pPr>
              <w:spacing w:after="0" w:line="276" w:lineRule="auto"/>
            </w:pPr>
            <w:r>
              <w:rPr>
                <w:rFonts w:ascii="Arial" w:hAnsi="Arial" w:cs="Arial" w:eastAsia="Arial Unicode MS"/>
                <w:b w:val="0"/>
                <w:i w:val="0"/>
                <w:color w:val="000000"/>
                <w:sz w:val="21"/>
              </w:rPr>
              <w:t>Show one AI question</w:t>
            </w:r>
          </w:p>
        </w:tc>
        <w:tc>
          <w:tcPr>
            <w:tcW w:type="dxa" w:w="3960"/>
            <w:vAlign w:val="center"/>
            <w:tcMar>
              <w:top w:w="110" w:type="dxa"/>
              <w:left w:w="110" w:type="dxa"/>
              <w:bottom w:w="110" w:type="dxa"/>
              <w:right w:w="110" w:type="dxa"/>
            </w:tcMar>
            <w:tcBorders>
              <w:top w:val="single" w:sz="4" w:color="D9D9D9"/>
              <w:left w:val="single" w:sz="4" w:color="D9D9D9"/>
              <w:bottom w:val="single" w:sz="4" w:color="D9D9D9"/>
              <w:right w:val="single" w:sz="4" w:color="D9D9D9"/>
            </w:tcBorders>
            <w:shd w:fill="F6F6F6"/>
          </w:tcPr>
          <w:p>
            <w:pPr>
              <w:spacing w:after="0" w:line="276" w:lineRule="auto"/>
              <w:jc w:val="center"/>
            </w:pPr>
            <w:r>
              <w:rPr>
                <w:rFonts w:ascii="Arial" w:hAnsi="Arial" w:cs="Arial" w:eastAsia="Arial Unicode MS"/>
                <w:b w:val="0"/>
                <w:i w:val="0"/>
                <w:color w:val="000000"/>
                <w:sz w:val="21"/>
              </w:rPr>
              <w:t>Explain choices, custom text and the five-question bound.</w:t>
            </w:r>
          </w:p>
        </w:tc>
        <w:tc>
          <w:tcPr>
            <w:tcW w:type="dxa" w:w="3744"/>
            <w:vAlign w:val="center"/>
            <w:tcMar>
              <w:top w:w="110" w:type="dxa"/>
              <w:left w:w="110" w:type="dxa"/>
              <w:bottom w:w="110" w:type="dxa"/>
              <w:right w:w="110" w:type="dxa"/>
            </w:tcMar>
            <w:tcBorders>
              <w:top w:val="single" w:sz="4" w:color="D9D9D9"/>
              <w:left w:val="single" w:sz="4" w:color="D9D9D9"/>
              <w:bottom w:val="single" w:sz="4" w:color="D9D9D9"/>
              <w:right w:val="single" w:sz="4" w:color="D9D9D9"/>
            </w:tcBorders>
            <w:shd w:fill="F6F6F6"/>
          </w:tcPr>
          <w:p>
            <w:pPr>
              <w:spacing w:after="0" w:line="276" w:lineRule="auto"/>
              <w:jc w:val="center"/>
            </w:pPr>
            <w:r>
              <w:rPr>
                <w:rFonts w:ascii="Arial" w:hAnsi="Arial" w:cs="Arial" w:eastAsia="Arial Unicode MS"/>
                <w:b w:val="0"/>
                <w:i w:val="0"/>
                <w:color w:val="000000"/>
                <w:sz w:val="21"/>
              </w:rPr>
              <w:t>Use the captured AI step; label its controlled fixture content.</w:t>
            </w:r>
          </w:p>
        </w:tc>
      </w:tr>
      <w:tr>
        <w:tc>
          <w:tcPr>
            <w:tcW w:type="dxa" w:w="1584"/>
            <w:vAlign w:val="center"/>
            <w:tcMar>
              <w:top w:w="110" w:type="dxa"/>
              <w:left w:w="110" w:type="dxa"/>
              <w:bottom w:w="110" w:type="dxa"/>
              <w:right w:w="110" w:type="dxa"/>
            </w:tcMar>
            <w:tcBorders>
              <w:top w:val="single" w:sz="4" w:color="D9D9D9"/>
              <w:left w:val="single" w:sz="4" w:color="D9D9D9"/>
              <w:bottom w:val="single" w:sz="4" w:color="D9D9D9"/>
              <w:right w:val="single" w:sz="4" w:color="D9D9D9"/>
            </w:tcBorders>
            <w:shd w:fill="FFFFFF"/>
          </w:tcPr>
          <w:p>
            <w:pPr>
              <w:spacing w:after="0" w:line="276" w:lineRule="auto"/>
            </w:pPr>
            <w:r>
              <w:rPr>
                <w:rFonts w:ascii="Arial" w:hAnsi="Arial" w:cs="Arial" w:eastAsia="Arial Unicode MS"/>
                <w:b w:val="0"/>
                <w:i w:val="0"/>
                <w:color w:val="000000"/>
                <w:sz w:val="21"/>
              </w:rPr>
              <w:t>Review and share</w:t>
            </w:r>
          </w:p>
        </w:tc>
        <w:tc>
          <w:tcPr>
            <w:tcW w:type="dxa" w:w="3960"/>
            <w:vAlign w:val="center"/>
            <w:tcMar>
              <w:top w:w="110" w:type="dxa"/>
              <w:left w:w="110" w:type="dxa"/>
              <w:bottom w:w="110" w:type="dxa"/>
              <w:right w:w="110" w:type="dxa"/>
            </w:tcMar>
            <w:tcBorders>
              <w:top w:val="single" w:sz="4" w:color="D9D9D9"/>
              <w:left w:val="single" w:sz="4" w:color="D9D9D9"/>
              <w:bottom w:val="single" w:sz="4" w:color="D9D9D9"/>
              <w:right w:val="single" w:sz="4" w:color="D9D9D9"/>
            </w:tcBorders>
            <w:shd w:fill="FFFFFF"/>
          </w:tcPr>
          <w:p>
            <w:pPr>
              <w:spacing w:after="0" w:line="276" w:lineRule="auto"/>
              <w:jc w:val="center"/>
            </w:pPr>
            <w:r>
              <w:rPr>
                <w:rFonts w:ascii="Arial" w:hAnsi="Arial" w:cs="Arial" w:eastAsia="Arial Unicode MS"/>
                <w:b w:val="0"/>
                <w:i w:val="0"/>
                <w:color w:val="000000"/>
                <w:sz w:val="21"/>
              </w:rPr>
              <w:t>Show the approval control and the assigned doctor’s view.</w:t>
            </w:r>
          </w:p>
        </w:tc>
        <w:tc>
          <w:tcPr>
            <w:tcW w:type="dxa" w:w="3744"/>
            <w:vAlign w:val="center"/>
            <w:tcMar>
              <w:top w:w="110" w:type="dxa"/>
              <w:left w:w="110" w:type="dxa"/>
              <w:bottom w:w="110" w:type="dxa"/>
              <w:right w:w="110" w:type="dxa"/>
            </w:tcMar>
            <w:tcBorders>
              <w:top w:val="single" w:sz="4" w:color="D9D9D9"/>
              <w:left w:val="single" w:sz="4" w:color="D9D9D9"/>
              <w:bottom w:val="single" w:sz="4" w:color="D9D9D9"/>
              <w:right w:val="single" w:sz="4" w:color="D9D9D9"/>
            </w:tcBorders>
            <w:shd w:fill="FFFFFF"/>
          </w:tcPr>
          <w:p>
            <w:pPr>
              <w:spacing w:after="0" w:line="276" w:lineRule="auto"/>
              <w:jc w:val="center"/>
            </w:pPr>
            <w:r>
              <w:rPr>
                <w:rFonts w:ascii="Arial" w:hAnsi="Arial" w:cs="Arial" w:eastAsia="Arial Unicode MS"/>
                <w:b w:val="0"/>
                <w:i w:val="0"/>
                <w:color w:val="000000"/>
                <w:sz w:val="21"/>
              </w:rPr>
              <w:t>Use slide 8. Do not send a real email.</w:t>
            </w:r>
          </w:p>
        </w:tc>
      </w:tr>
      <w:tr>
        <w:tc>
          <w:tcPr>
            <w:tcW w:type="dxa" w:w="1584"/>
            <w:vAlign w:val="center"/>
            <w:tcMar>
              <w:top w:w="110" w:type="dxa"/>
              <w:left w:w="110" w:type="dxa"/>
              <w:bottom w:w="110" w:type="dxa"/>
              <w:right w:w="110" w:type="dxa"/>
            </w:tcMar>
            <w:tcBorders>
              <w:top w:val="single" w:sz="4" w:color="D9D9D9"/>
              <w:left w:val="single" w:sz="4" w:color="D9D9D9"/>
              <w:bottom w:val="single" w:sz="4" w:color="D9D9D9"/>
              <w:right w:val="single" w:sz="4" w:color="D9D9D9"/>
            </w:tcBorders>
            <w:shd w:fill="F6F6F6"/>
          </w:tcPr>
          <w:p>
            <w:pPr>
              <w:spacing w:after="0" w:line="276" w:lineRule="auto"/>
            </w:pPr>
            <w:r>
              <w:rPr>
                <w:rFonts w:ascii="Arial" w:hAnsi="Arial" w:cs="Arial" w:eastAsia="Arial Unicode MS"/>
                <w:b w:val="0"/>
                <w:i w:val="0"/>
                <w:color w:val="000000"/>
                <w:sz w:val="21"/>
              </w:rPr>
              <w:t>Network or service delay</w:t>
            </w:r>
          </w:p>
        </w:tc>
        <w:tc>
          <w:tcPr>
            <w:tcW w:type="dxa" w:w="3960"/>
            <w:vAlign w:val="center"/>
            <w:tcMar>
              <w:top w:w="110" w:type="dxa"/>
              <w:left w:w="110" w:type="dxa"/>
              <w:bottom w:w="110" w:type="dxa"/>
              <w:right w:w="110" w:type="dxa"/>
            </w:tcMar>
            <w:tcBorders>
              <w:top w:val="single" w:sz="4" w:color="D9D9D9"/>
              <w:left w:val="single" w:sz="4" w:color="D9D9D9"/>
              <w:bottom w:val="single" w:sz="4" w:color="D9D9D9"/>
              <w:right w:val="single" w:sz="4" w:color="D9D9D9"/>
            </w:tcBorders>
            <w:shd w:fill="F6F6F6"/>
          </w:tcPr>
          <w:p>
            <w:pPr>
              <w:spacing w:after="0" w:line="276" w:lineRule="auto"/>
              <w:jc w:val="center"/>
            </w:pPr>
            <w:r>
              <w:rPr>
                <w:rFonts w:ascii="Arial" w:hAnsi="Arial" w:cs="Arial" w:eastAsia="Arial Unicode MS"/>
                <w:b w:val="0"/>
                <w:i w:val="0"/>
                <w:color w:val="000000"/>
                <w:sz w:val="21"/>
              </w:rPr>
              <w:t>Say the live request is unavailable and continue.</w:t>
            </w:r>
          </w:p>
        </w:tc>
        <w:tc>
          <w:tcPr>
            <w:tcW w:type="dxa" w:w="3744"/>
            <w:vAlign w:val="center"/>
            <w:tcMar>
              <w:top w:w="110" w:type="dxa"/>
              <w:left w:w="110" w:type="dxa"/>
              <w:bottom w:w="110" w:type="dxa"/>
              <w:right w:w="110" w:type="dxa"/>
            </w:tcMar>
            <w:tcBorders>
              <w:top w:val="single" w:sz="4" w:color="D9D9D9"/>
              <w:left w:val="single" w:sz="4" w:color="D9D9D9"/>
              <w:bottom w:val="single" w:sz="4" w:color="D9D9D9"/>
              <w:right w:val="single" w:sz="4" w:color="D9D9D9"/>
            </w:tcBorders>
            <w:shd w:fill="F6F6F6"/>
          </w:tcPr>
          <w:p>
            <w:pPr>
              <w:spacing w:after="0" w:line="276" w:lineRule="auto"/>
              <w:jc w:val="center"/>
            </w:pPr>
            <w:r>
              <w:rPr>
                <w:rFonts w:ascii="Arial" w:hAnsi="Arial" w:cs="Arial" w:eastAsia="Arial Unicode MS"/>
                <w:b w:val="0"/>
                <w:i w:val="0"/>
                <w:color w:val="000000"/>
                <w:sz w:val="21"/>
              </w:rPr>
              <w:t>Switch to the screenshot immediately; do not wait through retries.</w:t>
            </w:r>
          </w:p>
        </w:tc>
      </w:tr>
    </w:tbl>
    <w:p>
      <w:pPr>
        <w:keepNext w:val="0"/>
        <w:spacing w:after="220" w:before="200"/>
      </w:pPr>
      <w:r>
        <w:rPr>
          <w:rFonts w:ascii="Arial" w:hAnsi="Arial" w:cs="Arial" w:eastAsia="Arial Unicode MS"/>
          <w:b w:val="0"/>
          <w:i w:val="0"/>
          <w:color w:val="000000"/>
          <w:sz w:val="21"/>
        </w:rPr>
        <w:t>If the microphone is unavailable, read the sample narrative aloud and type it, then point to the captured voice controls. Do not present typed text as evidence that live transcription succeeded.</w:t>
      </w:r>
    </w:p>
    <w:p>
      <w:pPr>
        <w:spacing w:after="160" w:line="276" w:lineRule="auto"/>
      </w:pPr>
      <w:r>
        <w:rPr>
          <w:rFonts w:ascii="Arial" w:hAnsi="Arial" w:cs="Arial" w:eastAsia="Arial Unicode MS"/>
          <w:b/>
          <w:i w:val="0"/>
          <w:color w:val="000000"/>
          <w:sz w:val="21"/>
        </w:rPr>
        <w:t xml:space="preserve">排练提示  </w:t>
      </w:r>
      <w:r>
        <w:rPr>
          <w:rFonts w:ascii="Arial" w:hAnsi="Arial" w:cs="Arial" w:eastAsia="Arial Unicode MS"/>
          <w:b w:val="0"/>
          <w:i w:val="0"/>
          <w:color w:val="444444"/>
          <w:sz w:val="21"/>
        </w:rPr>
        <w:t>不要在台上修系统或反复刷新。先说“Let me use the captured example so we can keep to time”，马上回到PPT。需要追问时使用备用页。</w:t>
      </w:r>
    </w:p>
    <w:p>
      <w:pPr>
        <w:pStyle w:val="Heading1"/>
        <w:pageBreakBefore/>
        <w:spacing w:before="0"/>
      </w:pPr>
      <w:r>
        <w:rPr>
          <w:rFonts w:ascii="Arial" w:hAnsi="Arial" w:cs="Arial" w:eastAsia="Arial Unicode MS"/>
          <w:b/>
          <w:i w:val="0"/>
          <w:color w:val="000000"/>
          <w:sz w:val="42"/>
        </w:rPr>
        <w:t>Questions for every team member 1 to 6</w:t>
      </w:r>
    </w:p>
    <w:p>
      <w:pPr>
        <w:keepNext w:val="0"/>
        <w:spacing w:after="200" w:before="0"/>
      </w:pPr>
      <w:r>
        <w:rPr>
          <w:rFonts w:ascii="Arial" w:hAnsi="Arial" w:cs="Arial" w:eastAsia="Arial Unicode MS"/>
          <w:b w:val="0"/>
          <w:i w:val="0"/>
          <w:color w:val="444444"/>
          <w:sz w:val="21"/>
        </w:rPr>
        <w:t>Give the short answer first. Add the relevant evidence or limitation only if the examiner asks for detail.</w:t>
      </w:r>
    </w:p>
    <w:p>
      <w:pPr>
        <w:keepNext/>
        <w:spacing w:before="160" w:after="100"/>
      </w:pPr>
      <w:r>
        <w:rPr>
          <w:rFonts w:ascii="Arial" w:hAnsi="Arial" w:cs="Arial" w:eastAsia="Arial Unicode MS"/>
          <w:b/>
          <w:i w:val="0"/>
          <w:color w:val="000000"/>
          <w:sz w:val="22"/>
        </w:rPr>
        <w:t>1. What is your main contribution?</w:t>
      </w:r>
    </w:p>
    <w:p>
      <w:pPr>
        <w:keepNext w:val="0"/>
        <w:spacing w:after="100" w:before="0"/>
      </w:pPr>
      <w:r>
        <w:rPr>
          <w:rFonts w:ascii="Arial" w:hAnsi="Arial" w:cs="Arial" w:eastAsia="Arial Unicode MS"/>
          <w:b w:val="0"/>
          <w:i w:val="0"/>
          <w:color w:val="000000"/>
          <w:sz w:val="21"/>
        </w:rPr>
        <w:t>The contribution is an integrated preparation workflow: one-question steps, editable evidence, bounded follow-up and approval of a specific record for a selected doctor. We do not claim to have invented symptom interviewing or to outperform established products.</w:t>
      </w:r>
    </w:p>
    <w:p>
      <w:pPr>
        <w:spacing w:after="80" w:line="276" w:lineRule="auto"/>
      </w:pPr>
      <w:r>
        <w:rPr>
          <w:rFonts w:ascii="Arial" w:hAnsi="Arial" w:cs="Arial" w:eastAsia="Arial Unicode MS"/>
          <w:b/>
          <w:i w:val="0"/>
          <w:color w:val="000000"/>
          <w:sz w:val="21"/>
        </w:rPr>
        <w:t xml:space="preserve">排练提示  </w:t>
      </w:r>
      <w:r>
        <w:rPr>
          <w:rFonts w:ascii="Arial" w:hAnsi="Arial" w:cs="Arial" w:eastAsia="Arial Unicode MS"/>
          <w:b w:val="0"/>
          <w:i w:val="0"/>
          <w:color w:val="444444"/>
          <w:sz w:val="21"/>
        </w:rPr>
        <w:t>先讲集成工程贡献，不讲临床优越性。</w:t>
      </w:r>
    </w:p>
    <w:p>
      <w:pPr>
        <w:keepNext/>
        <w:spacing w:before="160" w:after="100"/>
      </w:pPr>
      <w:r>
        <w:rPr>
          <w:rFonts w:ascii="Arial" w:hAnsi="Arial" w:cs="Arial" w:eastAsia="Arial Unicode MS"/>
          <w:b/>
          <w:i w:val="0"/>
          <w:color w:val="000000"/>
          <w:sz w:val="22"/>
        </w:rPr>
        <w:t>2. Can a malicious prompt delete the server?</w:t>
      </w:r>
    </w:p>
    <w:p>
      <w:pPr>
        <w:keepNext w:val="0"/>
        <w:spacing w:after="100" w:before="0"/>
      </w:pPr>
      <w:r>
        <w:rPr>
          <w:rFonts w:ascii="Arial" w:hAnsi="Arial" w:cs="Arial" w:eastAsia="Arial Unicode MS"/>
          <w:b w:val="0"/>
          <w:i w:val="0"/>
          <w:color w:val="000000"/>
          <w:sz w:val="21"/>
        </w:rPr>
        <w:t>The application does not expose a shell or file-execution tool to the language model. Model output is treated as a proposal and checked against allowed data operations. This architecture removes that direct route; it does not remove every possible software vulnerability.</w:t>
      </w:r>
    </w:p>
    <w:p>
      <w:pPr>
        <w:spacing w:after="80" w:line="276" w:lineRule="auto"/>
      </w:pPr>
      <w:r>
        <w:rPr>
          <w:rFonts w:ascii="Arial" w:hAnsi="Arial" w:cs="Arial" w:eastAsia="Arial Unicode MS"/>
          <w:b/>
          <w:i w:val="0"/>
          <w:color w:val="000000"/>
          <w:sz w:val="21"/>
        </w:rPr>
        <w:t xml:space="preserve">排练提示  </w:t>
      </w:r>
      <w:r>
        <w:rPr>
          <w:rFonts w:ascii="Arial" w:hAnsi="Arial" w:cs="Arial" w:eastAsia="Arial Unicode MS"/>
          <w:b w:val="0"/>
          <w:i w:val="0"/>
          <w:color w:val="444444"/>
          <w:sz w:val="21"/>
        </w:rPr>
        <w:t>核心是没有执行权限，而不是只依赖提示词说不要删除。</w:t>
      </w:r>
    </w:p>
    <w:p>
      <w:pPr>
        <w:keepNext/>
        <w:spacing w:before="160" w:after="100"/>
      </w:pPr>
      <w:r>
        <w:rPr>
          <w:rFonts w:ascii="Arial" w:hAnsi="Arial" w:cs="Arial" w:eastAsia="Arial Unicode MS"/>
          <w:b/>
          <w:i w:val="0"/>
          <w:color w:val="000000"/>
          <w:sz w:val="22"/>
        </w:rPr>
        <w:t>3. Can a user ask for another patient’s record?</w:t>
      </w:r>
    </w:p>
    <w:p>
      <w:pPr>
        <w:keepNext w:val="0"/>
        <w:spacing w:after="100" w:before="0"/>
      </w:pPr>
      <w:r>
        <w:rPr>
          <w:rFonts w:ascii="Arial" w:hAnsi="Arial" w:cs="Arial" w:eastAsia="Arial Unicode MS"/>
          <w:b w:val="0"/>
          <w:i w:val="0"/>
          <w:color w:val="000000"/>
          <w:sz w:val="21"/>
        </w:rPr>
        <w:t>Knowing or requesting a record ID does not grant access. The API checks the authenticated patient owner or the authorised doctor and sharing state. The model is not given a patient-search tool. The access-control tests are separate from the live language-model smoke checks.</w:t>
      </w:r>
    </w:p>
    <w:p>
      <w:pPr>
        <w:spacing w:after="80" w:line="276" w:lineRule="auto"/>
      </w:pPr>
      <w:r>
        <w:rPr>
          <w:rFonts w:ascii="Arial" w:hAnsi="Arial" w:cs="Arial" w:eastAsia="Arial Unicode MS"/>
          <w:b/>
          <w:i w:val="0"/>
          <w:color w:val="000000"/>
          <w:sz w:val="21"/>
        </w:rPr>
        <w:t xml:space="preserve">排练提示  </w:t>
      </w:r>
      <w:r>
        <w:rPr>
          <w:rFonts w:ascii="Arial" w:hAnsi="Arial" w:cs="Arial" w:eastAsia="Arial Unicode MS"/>
          <w:b w:val="0"/>
          <w:i w:val="0"/>
          <w:color w:val="444444"/>
          <w:sz w:val="21"/>
        </w:rPr>
        <w:t>区分真实 API 授权拒绝与模型输出检查。</w:t>
      </w:r>
    </w:p>
    <w:p>
      <w:pPr>
        <w:keepNext/>
        <w:spacing w:before="160" w:after="100"/>
      </w:pPr>
      <w:r>
        <w:rPr>
          <w:rFonts w:ascii="Arial" w:hAnsi="Arial" w:cs="Arial" w:eastAsia="Arial Unicode MS"/>
          <w:b/>
          <w:i w:val="0"/>
          <w:color w:val="000000"/>
          <w:sz w:val="22"/>
        </w:rPr>
        <w:t>4. Is the system safe for clinical use?</w:t>
      </w:r>
    </w:p>
    <w:p>
      <w:pPr>
        <w:keepNext w:val="0"/>
        <w:spacing w:after="100" w:before="0"/>
      </w:pPr>
      <w:r>
        <w:rPr>
          <w:rFonts w:ascii="Arial" w:hAnsi="Arial" w:cs="Arial" w:eastAsia="Arial Unicode MS"/>
          <w:b w:val="0"/>
          <w:i w:val="0"/>
          <w:color w:val="000000"/>
          <w:sz w:val="21"/>
        </w:rPr>
        <w:t>We have engineering and small synthetic model checks, not clinical validation. Registration verifies email ownership, not medical licensure. The preliminary assessment needs clinician review. Before clinical deployment we would need representative clinician-rated evaluation, credential verification, a data-governance review and operational monitoring.</w:t>
      </w:r>
    </w:p>
    <w:p>
      <w:pPr>
        <w:spacing w:after="80" w:line="276" w:lineRule="auto"/>
      </w:pPr>
      <w:r>
        <w:rPr>
          <w:rFonts w:ascii="Arial" w:hAnsi="Arial" w:cs="Arial" w:eastAsia="Arial Unicode MS"/>
          <w:b/>
          <w:i w:val="0"/>
          <w:color w:val="000000"/>
          <w:sz w:val="21"/>
        </w:rPr>
        <w:t xml:space="preserve">排练提示  </w:t>
      </w:r>
      <w:r>
        <w:rPr>
          <w:rFonts w:ascii="Arial" w:hAnsi="Arial" w:cs="Arial" w:eastAsia="Arial Unicode MS"/>
          <w:b w:val="0"/>
          <w:i w:val="0"/>
          <w:color w:val="444444"/>
          <w:sz w:val="21"/>
        </w:rPr>
        <w:t>不承诺能诊断或可立即临床部署；医生注册只验证邮箱，不是执业资质认证。</w:t>
      </w:r>
    </w:p>
    <w:p>
      <w:pPr>
        <w:keepNext/>
        <w:spacing w:before="160" w:after="100"/>
      </w:pPr>
      <w:r>
        <w:rPr>
          <w:rFonts w:ascii="Arial" w:hAnsi="Arial" w:cs="Arial" w:eastAsia="Arial Unicode MS"/>
          <w:b/>
          <w:i w:val="0"/>
          <w:color w:val="000000"/>
          <w:sz w:val="22"/>
        </w:rPr>
        <w:t>5. Why use OLD CARTS and which version do you follow?</w:t>
      </w:r>
    </w:p>
    <w:p>
      <w:pPr>
        <w:keepNext w:val="0"/>
        <w:spacing w:after="100" w:before="0"/>
      </w:pPr>
      <w:r>
        <w:rPr>
          <w:rFonts w:ascii="Arial" w:hAnsi="Arial" w:cs="Arial" w:eastAsia="Arial Unicode MS"/>
          <w:b w:val="0"/>
          <w:i w:val="0"/>
          <w:color w:val="000000"/>
          <w:sz w:val="21"/>
        </w:rPr>
        <w:t>It gives familiar categories for a symptom story. We use R for relieving factors and record radiation separately. Onset, overall duration and episode duration are distinct. The framework is applied when relevant and is not used as a clinical completeness score.</w:t>
      </w:r>
    </w:p>
    <w:p>
      <w:pPr>
        <w:spacing w:after="80" w:line="276" w:lineRule="auto"/>
      </w:pPr>
      <w:r>
        <w:rPr>
          <w:rFonts w:ascii="Arial" w:hAnsi="Arial" w:cs="Arial" w:eastAsia="Arial Unicode MS"/>
          <w:b/>
          <w:i w:val="0"/>
          <w:color w:val="000000"/>
          <w:sz w:val="21"/>
        </w:rPr>
        <w:t xml:space="preserve">排练提示  </w:t>
      </w:r>
      <w:r>
        <w:rPr>
          <w:rFonts w:ascii="Arial" w:hAnsi="Arial" w:cs="Arial" w:eastAsia="Arial Unicode MS"/>
          <w:b w:val="0"/>
          <w:i w:val="0"/>
          <w:color w:val="444444"/>
          <w:sz w:val="21"/>
        </w:rPr>
        <w:t>先说所用变体，再说不强制所有病例填满八项。</w:t>
      </w:r>
    </w:p>
    <w:p>
      <w:pPr>
        <w:keepNext/>
        <w:spacing w:before="160" w:after="100"/>
      </w:pPr>
      <w:r>
        <w:rPr>
          <w:rFonts w:ascii="Arial" w:hAnsi="Arial" w:cs="Arial" w:eastAsia="Arial Unicode MS"/>
          <w:b/>
          <w:i w:val="0"/>
          <w:color w:val="000000"/>
          <w:sz w:val="22"/>
        </w:rPr>
        <w:t>6. What stops repeated or endless AI questions?</w:t>
      </w:r>
    </w:p>
    <w:p>
      <w:pPr>
        <w:keepNext w:val="0"/>
        <w:spacing w:after="100" w:before="0"/>
      </w:pPr>
      <w:r>
        <w:rPr>
          <w:rFonts w:ascii="Arial" w:hAnsi="Arial" w:cs="Arial" w:eastAsia="Arial Unicode MS"/>
          <w:b w:val="0"/>
          <w:i w:val="0"/>
          <w:color w:val="000000"/>
          <w:sz w:val="21"/>
        </w:rPr>
        <w:t>The backend restricts eligible targets and normally publishes one batch of at most five questions, shown one at a time. A narrow second-round exception exists for new medicine or allergy conflicts. Unknown and declined answers are preserved instead of being repeatedly requested.</w:t>
      </w:r>
    </w:p>
    <w:p>
      <w:pPr>
        <w:spacing w:after="80" w:line="276" w:lineRule="auto"/>
      </w:pPr>
      <w:r>
        <w:rPr>
          <w:rFonts w:ascii="Arial" w:hAnsi="Arial" w:cs="Arial" w:eastAsia="Arial Unicode MS"/>
          <w:b/>
          <w:i w:val="0"/>
          <w:color w:val="000000"/>
          <w:sz w:val="21"/>
        </w:rPr>
        <w:t xml:space="preserve">排练提示  </w:t>
      </w:r>
      <w:r>
        <w:rPr>
          <w:rFonts w:ascii="Arial" w:hAnsi="Arial" w:cs="Arial" w:eastAsia="Arial Unicode MS"/>
          <w:b w:val="0"/>
          <w:i w:val="0"/>
          <w:color w:val="444444"/>
          <w:sz w:val="21"/>
        </w:rPr>
        <w:t>正常最多5题；特殊第二轮的范围要限定。</w:t>
      </w:r>
    </w:p>
    <w:p>
      <w:pPr>
        <w:pStyle w:val="Heading1"/>
        <w:pageBreakBefore/>
        <w:spacing w:before="0"/>
      </w:pPr>
      <w:r>
        <w:rPr>
          <w:rFonts w:ascii="Arial" w:hAnsi="Arial" w:cs="Arial" w:eastAsia="Arial Unicode MS"/>
          <w:b/>
          <w:i w:val="0"/>
          <w:color w:val="000000"/>
          <w:sz w:val="42"/>
        </w:rPr>
        <w:t>Questions for every team member 7 to 12</w:t>
      </w:r>
    </w:p>
    <w:p>
      <w:pPr>
        <w:keepNext w:val="0"/>
        <w:spacing w:after="200" w:before="0"/>
      </w:pPr>
      <w:r>
        <w:rPr>
          <w:rFonts w:ascii="Arial" w:hAnsi="Arial" w:cs="Arial" w:eastAsia="Arial Unicode MS"/>
          <w:b w:val="0"/>
          <w:i w:val="0"/>
          <w:color w:val="444444"/>
          <w:sz w:val="21"/>
        </w:rPr>
        <w:t>Give the short answer first. Add the relevant evidence or limitation only if the examiner asks for detail.</w:t>
      </w:r>
    </w:p>
    <w:p>
      <w:pPr>
        <w:keepNext/>
        <w:spacing w:before="160" w:after="100"/>
      </w:pPr>
      <w:r>
        <w:rPr>
          <w:rFonts w:ascii="Arial" w:hAnsi="Arial" w:cs="Arial" w:eastAsia="Arial Unicode MS"/>
          <w:b/>
          <w:i w:val="0"/>
          <w:color w:val="000000"/>
          <w:sz w:val="22"/>
        </w:rPr>
        <w:t>7. Does a source citation prove a statement is true?</w:t>
      </w:r>
    </w:p>
    <w:p>
      <w:pPr>
        <w:keepNext w:val="0"/>
        <w:spacing w:after="100" w:before="0"/>
      </w:pPr>
      <w:r>
        <w:rPr>
          <w:rFonts w:ascii="Arial" w:hAnsi="Arial" w:cs="Arial" w:eastAsia="Arial Unicode MS"/>
          <w:b w:val="0"/>
          <w:i w:val="0"/>
          <w:color w:val="000000"/>
          <w:sz w:val="21"/>
        </w:rPr>
        <w:t>No. We can verify that a permitted source exists and check certain unsupported transformations, but a source reference alone does not prove semantic or medical correctness. Keeping the source visible helps a patient or clinician inspect and correct the statement.</w:t>
      </w:r>
    </w:p>
    <w:p>
      <w:pPr>
        <w:spacing w:after="80" w:line="276" w:lineRule="auto"/>
      </w:pPr>
      <w:r>
        <w:rPr>
          <w:rFonts w:ascii="Arial" w:hAnsi="Arial" w:cs="Arial" w:eastAsia="Arial Unicode MS"/>
          <w:b/>
          <w:i w:val="0"/>
          <w:color w:val="000000"/>
          <w:sz w:val="21"/>
        </w:rPr>
        <w:t xml:space="preserve">排练提示  </w:t>
      </w:r>
      <w:r>
        <w:rPr>
          <w:rFonts w:ascii="Arial" w:hAnsi="Arial" w:cs="Arial" w:eastAsia="Arial Unicode MS"/>
          <w:b w:val="0"/>
          <w:i w:val="0"/>
          <w:color w:val="444444"/>
          <w:sz w:val="21"/>
        </w:rPr>
        <w:t>来源存在不等于语义蕴含，更不等于医学正确。</w:t>
      </w:r>
    </w:p>
    <w:p>
      <w:pPr>
        <w:keepNext/>
        <w:spacing w:before="160" w:after="100"/>
      </w:pPr>
      <w:r>
        <w:rPr>
          <w:rFonts w:ascii="Arial" w:hAnsi="Arial" w:cs="Arial" w:eastAsia="Arial Unicode MS"/>
          <w:b/>
          <w:i w:val="0"/>
          <w:color w:val="000000"/>
          <w:sz w:val="22"/>
        </w:rPr>
        <w:t>8. What happens if the AI service is slow or unavailable?</w:t>
      </w:r>
    </w:p>
    <w:p>
      <w:pPr>
        <w:keepNext w:val="0"/>
        <w:spacing w:after="100" w:before="0"/>
      </w:pPr>
      <w:r>
        <w:rPr>
          <w:rFonts w:ascii="Arial" w:hAnsi="Arial" w:cs="Arial" w:eastAsia="Arial Unicode MS"/>
          <w:b w:val="0"/>
          <w:i w:val="0"/>
          <w:color w:val="000000"/>
          <w:sz w:val="21"/>
        </w:rPr>
        <w:t>Saved patient answers remain available. The manual wizard can continue when automatic organisation is unavailable, and errors expose a retry path where appropriate. For the presentation, we use captured screens as a backup instead of pretending a live request succeeded.</w:t>
      </w:r>
    </w:p>
    <w:p>
      <w:pPr>
        <w:spacing w:after="80" w:line="276" w:lineRule="auto"/>
      </w:pPr>
      <w:r>
        <w:rPr>
          <w:rFonts w:ascii="Arial" w:hAnsi="Arial" w:cs="Arial" w:eastAsia="Arial Unicode MS"/>
          <w:b/>
          <w:i w:val="0"/>
          <w:color w:val="000000"/>
          <w:sz w:val="21"/>
        </w:rPr>
        <w:t xml:space="preserve">排练提示  </w:t>
      </w:r>
      <w:r>
        <w:rPr>
          <w:rFonts w:ascii="Arial" w:hAnsi="Arial" w:cs="Arial" w:eastAsia="Arial Unicode MS"/>
          <w:b w:val="0"/>
          <w:i w:val="0"/>
          <w:color w:val="444444"/>
          <w:sz w:val="21"/>
        </w:rPr>
        <w:t>回答保留、手动继续、明确错误；演示卡住就转截图。</w:t>
      </w:r>
    </w:p>
    <w:p>
      <w:pPr>
        <w:keepNext/>
        <w:spacing w:before="160" w:after="100"/>
      </w:pPr>
      <w:r>
        <w:rPr>
          <w:rFonts w:ascii="Arial" w:hAnsi="Arial" w:cs="Arial" w:eastAsia="Arial Unicode MS"/>
          <w:b/>
          <w:i w:val="0"/>
          <w:color w:val="000000"/>
          <w:sz w:val="22"/>
        </w:rPr>
        <w:t>9. Why did you choose GPT-6 Sol?</w:t>
      </w:r>
    </w:p>
    <w:p>
      <w:pPr>
        <w:keepNext w:val="0"/>
        <w:spacing w:after="100" w:before="0"/>
      </w:pPr>
      <w:r>
        <w:rPr>
          <w:rFonts w:ascii="Arial" w:hAnsi="Arial" w:cs="Arial" w:eastAsia="Arial Unicode MS"/>
          <w:b w:val="0"/>
          <w:i w:val="0"/>
          <w:color w:val="000000"/>
          <w:sz w:val="21"/>
        </w:rPr>
        <w:t>We prioritised responsiveness and kept the advanced model selector. In three paired extraction examples, Sol with low reasoning had a 7.677-second median, versus 13.053 seconds for the existing Astra configuration. This small configuration comparison does not establish equal clinical quality or a service-level guarantee.</w:t>
      </w:r>
    </w:p>
    <w:p>
      <w:pPr>
        <w:spacing w:after="80" w:line="276" w:lineRule="auto"/>
      </w:pPr>
      <w:r>
        <w:rPr>
          <w:rFonts w:ascii="Arial" w:hAnsi="Arial" w:cs="Arial" w:eastAsia="Arial Unicode MS"/>
          <w:b/>
          <w:i w:val="0"/>
          <w:color w:val="000000"/>
          <w:sz w:val="21"/>
        </w:rPr>
        <w:t xml:space="preserve">排练提示  </w:t>
      </w:r>
      <w:r>
        <w:rPr>
          <w:rFonts w:ascii="Arial" w:hAnsi="Arial" w:cs="Arial" w:eastAsia="Arial Unicode MS"/>
          <w:b w:val="0"/>
          <w:i w:val="0"/>
          <w:color w:val="444444"/>
          <w:sz w:val="21"/>
        </w:rPr>
        <w:t>不能把3个样本当普遍性能结论，也不说两模型质量相同。</w:t>
      </w:r>
    </w:p>
    <w:p>
      <w:pPr>
        <w:keepNext/>
        <w:spacing w:before="160" w:after="100"/>
      </w:pPr>
      <w:r>
        <w:rPr>
          <w:rFonts w:ascii="Arial" w:hAnsi="Arial" w:cs="Arial" w:eastAsia="Arial Unicode MS"/>
          <w:b/>
          <w:i w:val="0"/>
          <w:color w:val="000000"/>
          <w:sz w:val="22"/>
        </w:rPr>
        <w:t>10. How much of the demonstration is a live AI result?</w:t>
      </w:r>
    </w:p>
    <w:p>
      <w:pPr>
        <w:keepNext w:val="0"/>
        <w:spacing w:after="100" w:before="0"/>
      </w:pPr>
      <w:r>
        <w:rPr>
          <w:rFonts w:ascii="Arial" w:hAnsi="Arial" w:cs="Arial" w:eastAsia="Arial Unicode MS"/>
          <w:b w:val="0"/>
          <w:i w:val="0"/>
          <w:color w:val="000000"/>
          <w:sz w:val="21"/>
        </w:rPr>
        <w:t>The interface screenshots use a separate database and deterministic AI fixtures so the same workflow can be repeated. The separate live evidence contains six extraction requests across three paired inputs and two injection examples. We label these separately; the displayed assessment prose is not an independent accuracy result.</w:t>
      </w:r>
    </w:p>
    <w:p>
      <w:pPr>
        <w:spacing w:after="80" w:line="276" w:lineRule="auto"/>
      </w:pPr>
      <w:r>
        <w:rPr>
          <w:rFonts w:ascii="Arial" w:hAnsi="Arial" w:cs="Arial" w:eastAsia="Arial Unicode MS"/>
          <w:b/>
          <w:i w:val="0"/>
          <w:color w:val="000000"/>
          <w:sz w:val="21"/>
        </w:rPr>
        <w:t xml:space="preserve">排练提示  </w:t>
      </w:r>
      <w:r>
        <w:rPr>
          <w:rFonts w:ascii="Arial" w:hAnsi="Arial" w:cs="Arial" w:eastAsia="Arial Unicode MS"/>
          <w:b w:val="0"/>
          <w:i w:val="0"/>
          <w:color w:val="444444"/>
          <w:sz w:val="21"/>
        </w:rPr>
        <w:t>3个输入各测两种模型，共6次普通提取，加2次注入；截图与实测分开。</w:t>
      </w:r>
    </w:p>
    <w:p>
      <w:pPr>
        <w:keepNext/>
        <w:spacing w:before="160" w:after="100"/>
      </w:pPr>
      <w:r>
        <w:rPr>
          <w:rFonts w:ascii="Arial" w:hAnsi="Arial" w:cs="Arial" w:eastAsia="Arial Unicode MS"/>
          <w:b/>
          <w:i w:val="0"/>
          <w:color w:val="000000"/>
          <w:sz w:val="22"/>
        </w:rPr>
        <w:t>11. What does withdrawing sharing actually do?</w:t>
      </w:r>
    </w:p>
    <w:p>
      <w:pPr>
        <w:keepNext w:val="0"/>
        <w:spacing w:after="100" w:before="0"/>
      </w:pPr>
      <w:r>
        <w:rPr>
          <w:rFonts w:ascii="Arial" w:hAnsi="Arial" w:cs="Arial" w:eastAsia="Arial Unicode MS"/>
          <w:b w:val="0"/>
          <w:i w:val="0"/>
          <w:color w:val="000000"/>
          <w:sz w:val="21"/>
        </w:rPr>
        <w:t>Withdrawal stops subsequent access through the application by that doctor. It cannot erase a document that someone already downloaded or copied. Corrections and renewed sharing need review of the current record version, so an older approval is not treated as blanket permission.</w:t>
      </w:r>
    </w:p>
    <w:p>
      <w:pPr>
        <w:spacing w:after="80" w:line="276" w:lineRule="auto"/>
      </w:pPr>
      <w:r>
        <w:rPr>
          <w:rFonts w:ascii="Arial" w:hAnsi="Arial" w:cs="Arial" w:eastAsia="Arial Unicode MS"/>
          <w:b/>
          <w:i w:val="0"/>
          <w:color w:val="000000"/>
          <w:sz w:val="21"/>
        </w:rPr>
        <w:t xml:space="preserve">排练提示  </w:t>
      </w:r>
      <w:r>
        <w:rPr>
          <w:rFonts w:ascii="Arial" w:hAnsi="Arial" w:cs="Arial" w:eastAsia="Arial Unicode MS"/>
          <w:b w:val="0"/>
          <w:i w:val="0"/>
          <w:color w:val="444444"/>
          <w:sz w:val="21"/>
        </w:rPr>
        <w:t>明确撤回的边界，别说能远程抹掉已下载副本。</w:t>
      </w:r>
    </w:p>
    <w:p>
      <w:pPr>
        <w:keepNext/>
        <w:spacing w:before="160" w:after="100"/>
      </w:pPr>
      <w:r>
        <w:rPr>
          <w:rFonts w:ascii="Arial" w:hAnsi="Arial" w:cs="Arial" w:eastAsia="Arial Unicode MS"/>
          <w:b/>
          <w:i w:val="0"/>
          <w:color w:val="000000"/>
          <w:sz w:val="22"/>
        </w:rPr>
        <w:t>12. What would you evaluate next?</w:t>
      </w:r>
    </w:p>
    <w:p>
      <w:pPr>
        <w:keepNext w:val="0"/>
        <w:spacing w:after="100" w:before="0"/>
      </w:pPr>
      <w:r>
        <w:rPr>
          <w:rFonts w:ascii="Arial" w:hAnsi="Arial" w:cs="Arial" w:eastAsia="Arial Unicode MS"/>
          <w:b w:val="0"/>
          <w:i w:val="0"/>
          <w:color w:val="000000"/>
          <w:sz w:val="21"/>
        </w:rPr>
        <w:t>We would freeze a representative case set, have clinicians rate information coverage and unsupported claims, test more languages and adversarial variants, and run user sessions for completion burden and comprehension. We would also measure end-to-end latency under repeated and concurrent use.</w:t>
      </w:r>
    </w:p>
    <w:p>
      <w:pPr>
        <w:spacing w:after="80" w:line="276" w:lineRule="auto"/>
      </w:pPr>
      <w:r>
        <w:rPr>
          <w:rFonts w:ascii="Arial" w:hAnsi="Arial" w:cs="Arial" w:eastAsia="Arial Unicode MS"/>
          <w:b/>
          <w:i w:val="0"/>
          <w:color w:val="000000"/>
          <w:sz w:val="21"/>
        </w:rPr>
        <w:t xml:space="preserve">排练提示  </w:t>
      </w:r>
      <w:r>
        <w:rPr>
          <w:rFonts w:ascii="Arial" w:hAnsi="Arial" w:cs="Arial" w:eastAsia="Arial Unicode MS"/>
          <w:b w:val="0"/>
          <w:i w:val="0"/>
          <w:color w:val="444444"/>
          <w:sz w:val="21"/>
        </w:rPr>
        <w:t>提出具体评估指标，不把这些计划说成已完成结果。</w:t>
      </w:r>
    </w:p>
    <w:p>
      <w:pPr>
        <w:pStyle w:val="Heading1"/>
        <w:pageBreakBefore/>
        <w:spacing w:before="0"/>
      </w:pPr>
      <w:r>
        <w:rPr>
          <w:rFonts w:ascii="Arial" w:hAnsi="Arial" w:cs="Arial" w:eastAsia="Arial Unicode MS"/>
          <w:b/>
          <w:i w:val="0"/>
          <w:color w:val="000000"/>
          <w:sz w:val="42"/>
        </w:rPr>
        <w:t>Backup slide speaking notes</w:t>
      </w:r>
    </w:p>
    <w:p>
      <w:pPr>
        <w:keepNext w:val="0"/>
        <w:spacing w:after="260" w:before="0"/>
      </w:pPr>
      <w:r>
        <w:rPr>
          <w:rFonts w:ascii="Arial" w:hAnsi="Arial" w:cs="Arial" w:eastAsia="Arial Unicode MS"/>
          <w:b w:val="0"/>
          <w:i w:val="0"/>
          <w:color w:val="444444"/>
          <w:sz w:val="21"/>
        </w:rPr>
        <w:t>Do not include these notes in the timed main script. All members should know the message; the named presenter is a suggested lead for a detailed answer.</w:t>
      </w:r>
    </w:p>
    <w:p>
      <w:pPr>
        <w:pStyle w:val="Heading2"/>
        <w:spacing w:before="220"/>
      </w:pPr>
      <w:r>
        <w:rPr>
          <w:rFonts w:ascii="Arial" w:hAnsi="Arial" w:cs="Arial" w:eastAsia="Arial Unicode MS"/>
          <w:b/>
          <w:i w:val="0"/>
          <w:color w:val="000000"/>
          <w:sz w:val="27"/>
        </w:rPr>
        <w:t>Slide 13  OLD CARTS field mapping</w:t>
      </w:r>
    </w:p>
    <w:p>
      <w:pPr>
        <w:keepNext w:val="0"/>
        <w:spacing w:after="120" w:before="0"/>
      </w:pPr>
      <w:r>
        <w:rPr>
          <w:rFonts w:ascii="Arial" w:hAnsi="Arial" w:cs="Arial" w:eastAsia="Arial Unicode MS"/>
          <w:b w:val="0"/>
          <w:i w:val="0"/>
          <w:color w:val="555555"/>
          <w:sz w:val="20"/>
        </w:rPr>
        <w:t>Suggested lead  Guopeng Tan</w:t>
      </w:r>
    </w:p>
    <w:p>
      <w:pPr>
        <w:keepNext w:val="0"/>
        <w:spacing w:after="120" w:before="0"/>
      </w:pPr>
      <w:r>
        <w:rPr>
          <w:rFonts w:ascii="Arial" w:hAnsi="Arial" w:cs="Arial" w:eastAsia="Arial Unicode MS"/>
          <w:b w:val="0"/>
          <w:i w:val="0"/>
          <w:color w:val="000000"/>
          <w:sz w:val="21"/>
        </w:rPr>
        <w:t>Use when asked about the clinical structure. Name all eight categories and state that our R means relief. The University of Maryland reference uses radiation for R, so explain the variant rather than claiming one universal definition. Show overall duration and single-episode duration separately. Nonsymptom visits do not inherit every symptom question. Recorded, uncertain, skipped and missing states are not interchangeable.</w:t>
      </w:r>
    </w:p>
    <w:p>
      <w:pPr>
        <w:spacing w:after="160" w:line="276" w:lineRule="auto"/>
      </w:pPr>
      <w:r>
        <w:rPr>
          <w:rFonts w:ascii="Arial" w:hAnsi="Arial" w:cs="Arial" w:eastAsia="Arial Unicode MS"/>
          <w:b/>
          <w:i w:val="0"/>
          <w:color w:val="000000"/>
          <w:sz w:val="21"/>
        </w:rPr>
        <w:t xml:space="preserve">排练提示  </w:t>
      </w:r>
      <w:r>
        <w:rPr>
          <w:rFonts w:ascii="Arial" w:hAnsi="Arial" w:cs="Arial" w:eastAsia="Arial Unicode MS"/>
          <w:b w:val="0"/>
          <w:i w:val="0"/>
          <w:color w:val="444444"/>
          <w:sz w:val="21"/>
        </w:rPr>
        <w:t>可用双膝病例说明位置、加重与缓解；家庭血压讨论说明不适用的题不会强制出现。</w:t>
      </w:r>
    </w:p>
    <w:p>
      <w:pPr>
        <w:pStyle w:val="Heading2"/>
        <w:spacing w:before="220"/>
      </w:pPr>
      <w:r>
        <w:rPr>
          <w:rFonts w:ascii="Arial" w:hAnsi="Arial" w:cs="Arial" w:eastAsia="Arial Unicode MS"/>
          <w:b/>
          <w:i w:val="0"/>
          <w:color w:val="000000"/>
          <w:sz w:val="27"/>
        </w:rPr>
        <w:t>Slide 14  Security matrix</w:t>
      </w:r>
    </w:p>
    <w:p>
      <w:pPr>
        <w:keepNext w:val="0"/>
        <w:spacing w:after="120" w:before="0"/>
      </w:pPr>
      <w:r>
        <w:rPr>
          <w:rFonts w:ascii="Arial" w:hAnsi="Arial" w:cs="Arial" w:eastAsia="Arial Unicode MS"/>
          <w:b w:val="0"/>
          <w:i w:val="0"/>
          <w:color w:val="555555"/>
          <w:sz w:val="20"/>
        </w:rPr>
        <w:t>Suggested lead  Haobo Wang</w:t>
      </w:r>
    </w:p>
    <w:p>
      <w:pPr>
        <w:keepNext w:val="0"/>
        <w:spacing w:after="120" w:before="0"/>
      </w:pPr>
      <w:r>
        <w:rPr>
          <w:rFonts w:ascii="Arial" w:hAnsi="Arial" w:cs="Arial" w:eastAsia="Arial Unicode MS"/>
          <w:b w:val="0"/>
          <w:i w:val="0"/>
          <w:color w:val="000000"/>
          <w:sz w:val="21"/>
        </w:rPr>
        <w:t>Use when asked about prompt injection or privacy. Separate model capability from API authorisation. The model has no shell or patient-search tool. Authentication, ownership, sharing state and revisions are checked by the application. Describe the exact attack cases and outcomes from the recorded tests. Two live extraction examples do not establish general jailbreak resistance. Withdrawing access cannot retract copies already downloaded.</w:t>
      </w:r>
    </w:p>
    <w:p>
      <w:pPr>
        <w:spacing w:after="160" w:line="276" w:lineRule="auto"/>
      </w:pPr>
      <w:r>
        <w:rPr>
          <w:rFonts w:ascii="Arial" w:hAnsi="Arial" w:cs="Arial" w:eastAsia="Arial Unicode MS"/>
          <w:b/>
          <w:i w:val="0"/>
          <w:color w:val="000000"/>
          <w:sz w:val="21"/>
        </w:rPr>
        <w:t xml:space="preserve">排练提示  </w:t>
      </w:r>
      <w:r>
        <w:rPr>
          <w:rFonts w:ascii="Arial" w:hAnsi="Arial" w:cs="Arial" w:eastAsia="Arial Unicode MS"/>
          <w:b w:val="0"/>
          <w:i w:val="0"/>
          <w:color w:val="444444"/>
          <w:sz w:val="21"/>
        </w:rPr>
        <w:t>按模型能力、后端权限、已测案例、仍有限制四部分回答。</w:t>
      </w:r>
    </w:p>
    <w:p>
      <w:pPr>
        <w:pStyle w:val="Heading1"/>
        <w:pageBreakBefore/>
        <w:spacing w:before="0"/>
      </w:pPr>
      <w:r>
        <w:rPr>
          <w:rFonts w:ascii="Arial" w:hAnsi="Arial" w:cs="Arial" w:eastAsia="Arial Unicode MS"/>
          <w:b/>
          <w:i w:val="0"/>
          <w:color w:val="000000"/>
          <w:sz w:val="42"/>
        </w:rPr>
        <w:t>Backup notes for cases and sources</w:t>
      </w:r>
    </w:p>
    <w:p>
      <w:pPr>
        <w:pStyle w:val="Heading2"/>
        <w:spacing w:before="220"/>
      </w:pPr>
      <w:r>
        <w:rPr>
          <w:rFonts w:ascii="Arial" w:hAnsi="Arial" w:cs="Arial" w:eastAsia="Arial Unicode MS"/>
          <w:b/>
          <w:i w:val="0"/>
          <w:color w:val="000000"/>
          <w:sz w:val="27"/>
        </w:rPr>
        <w:t>Slide 15  Demo cases</w:t>
      </w:r>
    </w:p>
    <w:p>
      <w:pPr>
        <w:keepNext w:val="0"/>
        <w:spacing w:after="120" w:before="0"/>
      </w:pPr>
      <w:r>
        <w:rPr>
          <w:rFonts w:ascii="Arial" w:hAnsi="Arial" w:cs="Arial" w:eastAsia="Arial Unicode MS"/>
          <w:b w:val="0"/>
          <w:i w:val="0"/>
          <w:color w:val="555555"/>
          <w:sz w:val="20"/>
        </w:rPr>
        <w:t>Suggested lead  Hengyu Wang</w:t>
      </w:r>
    </w:p>
    <w:p>
      <w:pPr>
        <w:keepNext w:val="0"/>
        <w:spacing w:after="120" w:before="0"/>
      </w:pPr>
      <w:r>
        <w:rPr>
          <w:rFonts w:ascii="Arial" w:hAnsi="Arial" w:cs="Arial" w:eastAsia="Arial Unicode MS"/>
          <w:b w:val="0"/>
          <w:i w:val="0"/>
          <w:color w:val="000000"/>
          <w:sz w:val="21"/>
        </w:rPr>
        <w:t>TC01 follows fictional knee symptoms through multiple body locations, timing, uncertainty and controlled sharing. TC02 discusses home blood-pressure readings and an uploaded table without imposing unrelated symptom questions. Point to test-data/cases.json, answers.csv and negative-cases.csv for repeatable inputs. Use the isolated fixture database and documented checks. Compare recorded outcomes, not planned expectations. Live-model measurements are separate from deterministic screenshot content.</w:t>
      </w:r>
    </w:p>
    <w:p>
      <w:pPr>
        <w:spacing w:after="160" w:line="276" w:lineRule="auto"/>
      </w:pPr>
      <w:r>
        <w:rPr>
          <w:rFonts w:ascii="Arial" w:hAnsi="Arial" w:cs="Arial" w:eastAsia="Arial Unicode MS"/>
          <w:b/>
          <w:i w:val="0"/>
          <w:color w:val="000000"/>
          <w:sz w:val="21"/>
        </w:rPr>
        <w:t xml:space="preserve">排练提示  </w:t>
      </w:r>
      <w:r>
        <w:rPr>
          <w:rFonts w:ascii="Arial" w:hAnsi="Arial" w:cs="Arial" w:eastAsia="Arial Unicode MS"/>
          <w:b w:val="0"/>
          <w:i w:val="0"/>
          <w:color w:val="444444"/>
          <w:sz w:val="21"/>
        </w:rPr>
        <w:t>先说两个病例分别验证什么，再展示可复现材料与结果；截图中AI文字为受控内容。测试通过不是临床有效。</w:t>
      </w:r>
    </w:p>
    <w:p>
      <w:pPr>
        <w:pStyle w:val="Heading2"/>
        <w:spacing w:before="220"/>
      </w:pPr>
      <w:r>
        <w:rPr>
          <w:rFonts w:ascii="Arial" w:hAnsi="Arial" w:cs="Arial" w:eastAsia="Arial Unicode MS"/>
          <w:b/>
          <w:i w:val="0"/>
          <w:color w:val="000000"/>
          <w:sz w:val="27"/>
        </w:rPr>
        <w:t>Slide 16  Sources and presentation roles</w:t>
      </w:r>
    </w:p>
    <w:p>
      <w:pPr>
        <w:keepNext w:val="0"/>
        <w:spacing w:after="120" w:before="0"/>
      </w:pPr>
      <w:r>
        <w:rPr>
          <w:rFonts w:ascii="Arial" w:hAnsi="Arial" w:cs="Arial" w:eastAsia="Arial Unicode MS"/>
          <w:b w:val="0"/>
          <w:i w:val="0"/>
          <w:color w:val="555555"/>
          <w:sz w:val="20"/>
        </w:rPr>
        <w:t>Suggested lead  Heeran Shin</w:t>
      </w:r>
    </w:p>
    <w:p>
      <w:pPr>
        <w:keepNext w:val="0"/>
        <w:spacing w:after="120" w:before="0"/>
      </w:pPr>
      <w:r>
        <w:rPr>
          <w:rFonts w:ascii="Arial" w:hAnsi="Arial" w:cs="Arial" w:eastAsia="Arial Unicode MS"/>
          <w:b w:val="0"/>
          <w:i w:val="0"/>
          <w:color w:val="000000"/>
          <w:sz w:val="21"/>
        </w:rPr>
        <w:t>AHRQ supports the preparation framing; Ada is an example of symptom assessment; the University of Maryland source shows an OLD CARTS variant. Code and test evidence support implementation claims, not clinical effectiveness. The speaking order is Heeran, Guopeng, Robin, Haobo and Hengyu. These presentation responsibilities do not replace the implementation contribution record. Registration verifies email ownership, not medical licensure. Return to slide 11 for the limited latency comparison.</w:t>
      </w:r>
    </w:p>
    <w:p>
      <w:pPr>
        <w:spacing w:after="160" w:line="276" w:lineRule="auto"/>
      </w:pPr>
      <w:r>
        <w:rPr>
          <w:rFonts w:ascii="Arial" w:hAnsi="Arial" w:cs="Arial" w:eastAsia="Arial Unicode MS"/>
          <w:b/>
          <w:i w:val="0"/>
          <w:color w:val="000000"/>
          <w:sz w:val="21"/>
        </w:rPr>
        <w:t xml:space="preserve">排练提示  </w:t>
      </w:r>
      <w:r>
        <w:rPr>
          <w:rFonts w:ascii="Arial" w:hAnsi="Arial" w:cs="Arial" w:eastAsia="Arial Unicode MS"/>
          <w:b w:val="0"/>
          <w:i w:val="0"/>
          <w:color w:val="444444"/>
          <w:sz w:val="21"/>
        </w:rPr>
        <w:t>按一手来源说明背景依据；演讲角色不等于代码贡献分工。医疗资质、临床效果和模型性能都不能超出证据范围。</w:t>
      </w:r>
    </w:p>
    <w:p>
      <w:pPr>
        <w:pStyle w:val="Heading1"/>
        <w:pageBreakBefore/>
        <w:spacing w:before="0"/>
      </w:pPr>
      <w:r>
        <w:rPr>
          <w:rFonts w:ascii="Arial" w:hAnsi="Arial" w:cs="Arial" w:eastAsia="Arial Unicode MS"/>
          <w:b/>
          <w:i w:val="0"/>
          <w:color w:val="000000"/>
          <w:sz w:val="42"/>
        </w:rPr>
        <w:t>Evidence and rehearsal checks</w:t>
      </w:r>
    </w:p>
    <w:p>
      <w:pPr>
        <w:keepNext w:val="0"/>
        <w:spacing w:after="300" w:before="0"/>
      </w:pPr>
      <w:r>
        <w:rPr>
          <w:rFonts w:ascii="Arial" w:hAnsi="Arial" w:cs="Arial" w:eastAsia="Arial Unicode MS"/>
          <w:b w:val="0"/>
          <w:i w:val="0"/>
          <w:color w:val="000000"/>
          <w:sz w:val="23"/>
        </w:rPr>
        <w:t>Keep these files with the final presentation. Reported test counts come from executed runs; case expectations alone are not test results.</w:t>
      </w:r>
    </w:p>
    <w:tbl>
      <w:tblPr>
        <w:tblW w:type="auto" w:w="0"/>
        <w:jc w:val="center"/>
        <w:tblLayout w:type="fixed"/>
        <w:tblLook w:firstColumn="1" w:firstRow="1" w:lastColumn="0" w:lastRow="0" w:noHBand="0" w:noVBand="1" w:val="04A0"/>
      </w:tblPr>
      <w:tblGrid>
        <w:gridCol w:w="3816"/>
        <w:gridCol w:w="5472"/>
      </w:tblGrid>
      <w:tr>
        <w:trPr>
          <w:tblHeader/>
        </w:trPr>
        <w:tc>
          <w:tcPr>
            <w:tcW w:type="dxa" w:w="3816"/>
            <w:vAlign w:val="center"/>
            <w:tcMar>
              <w:top w:w="110" w:type="dxa"/>
              <w:left w:w="110" w:type="dxa"/>
              <w:bottom w:w="110" w:type="dxa"/>
              <w:right w:w="110" w:type="dxa"/>
            </w:tcMar>
            <w:tcBorders>
              <w:top w:val="single" w:sz="4" w:color="D9D9D9"/>
              <w:left w:val="single" w:sz="4" w:color="D9D9D9"/>
              <w:bottom w:val="single" w:sz="4" w:color="D9D9D9"/>
              <w:right w:val="single" w:sz="4" w:color="D9D9D9"/>
            </w:tcBorders>
            <w:shd w:fill="333333"/>
          </w:tcPr>
          <w:p>
            <w:pPr>
              <w:spacing w:after="0" w:line="276" w:lineRule="auto"/>
            </w:pPr>
            <w:r>
              <w:rPr>
                <w:rFonts w:ascii="Arial" w:hAnsi="Arial" w:cs="Arial" w:eastAsia="Arial Unicode MS"/>
                <w:b/>
                <w:i w:val="0"/>
                <w:color w:val="FFFFFF"/>
                <w:sz w:val="21"/>
              </w:rPr>
              <w:t>Evidence</w:t>
            </w:r>
          </w:p>
        </w:tc>
        <w:tc>
          <w:tcPr>
            <w:tcW w:type="dxa" w:w="5472"/>
            <w:vAlign w:val="center"/>
            <w:tcMar>
              <w:top w:w="110" w:type="dxa"/>
              <w:left w:w="110" w:type="dxa"/>
              <w:bottom w:w="110" w:type="dxa"/>
              <w:right w:w="110" w:type="dxa"/>
            </w:tcMar>
            <w:tcBorders>
              <w:top w:val="single" w:sz="4" w:color="D9D9D9"/>
              <w:left w:val="single" w:sz="4" w:color="D9D9D9"/>
              <w:bottom w:val="single" w:sz="4" w:color="D9D9D9"/>
              <w:right w:val="single" w:sz="4" w:color="D9D9D9"/>
            </w:tcBorders>
            <w:shd w:fill="333333"/>
          </w:tcPr>
          <w:p>
            <w:pPr>
              <w:spacing w:after="0" w:line="276" w:lineRule="auto"/>
              <w:jc w:val="center"/>
            </w:pPr>
            <w:r>
              <w:rPr>
                <w:rFonts w:ascii="Arial" w:hAnsi="Arial" w:cs="Arial" w:eastAsia="Arial Unicode MS"/>
                <w:b/>
                <w:i w:val="0"/>
                <w:color w:val="FFFFFF"/>
                <w:sz w:val="21"/>
              </w:rPr>
              <w:t>Use in the presentation</w:t>
            </w:r>
          </w:p>
        </w:tc>
      </w:tr>
      <w:tr>
        <w:tc>
          <w:tcPr>
            <w:tcW w:type="dxa" w:w="3816"/>
            <w:vAlign w:val="center"/>
            <w:tcMar>
              <w:top w:w="110" w:type="dxa"/>
              <w:left w:w="110" w:type="dxa"/>
              <w:bottom w:w="110" w:type="dxa"/>
              <w:right w:w="110" w:type="dxa"/>
            </w:tcMar>
            <w:tcBorders>
              <w:top w:val="single" w:sz="4" w:color="D9D9D9"/>
              <w:left w:val="single" w:sz="4" w:color="D9D9D9"/>
              <w:bottom w:val="single" w:sz="4" w:color="D9D9D9"/>
              <w:right w:val="single" w:sz="4" w:color="D9D9D9"/>
            </w:tcBorders>
            <w:shd w:fill="FFFFFF"/>
          </w:tcPr>
          <w:p>
            <w:pPr>
              <w:spacing w:after="0" w:line="276" w:lineRule="auto"/>
            </w:pPr>
            <w:r>
              <w:rPr>
                <w:rFonts w:ascii="Arial" w:hAnsi="Arial" w:cs="Arial" w:eastAsia="Arial Unicode MS"/>
                <w:b w:val="0"/>
                <w:i w:val="0"/>
                <w:color w:val="000000"/>
                <w:sz w:val="21"/>
              </w:rPr>
              <w:t>evidence/backend-regression.log and XML</w:t>
            </w:r>
          </w:p>
        </w:tc>
        <w:tc>
          <w:tcPr>
            <w:tcW w:type="dxa" w:w="5472"/>
            <w:vAlign w:val="center"/>
            <w:tcMar>
              <w:top w:w="110" w:type="dxa"/>
              <w:left w:w="110" w:type="dxa"/>
              <w:bottom w:w="110" w:type="dxa"/>
              <w:right w:w="110" w:type="dxa"/>
            </w:tcMar>
            <w:tcBorders>
              <w:top w:val="single" w:sz="4" w:color="D9D9D9"/>
              <w:left w:val="single" w:sz="4" w:color="D9D9D9"/>
              <w:bottom w:val="single" w:sz="4" w:color="D9D9D9"/>
              <w:right w:val="single" w:sz="4" w:color="D9D9D9"/>
            </w:tcBorders>
            <w:shd w:fill="FFFFFF"/>
          </w:tcPr>
          <w:p>
            <w:pPr>
              <w:spacing w:after="0" w:line="276" w:lineRule="auto"/>
              <w:jc w:val="center"/>
            </w:pPr>
            <w:r>
              <w:rPr>
                <w:rFonts w:ascii="Arial" w:hAnsi="Arial" w:cs="Arial" w:eastAsia="Arial Unicode MS"/>
                <w:b w:val="0"/>
                <w:i w:val="0"/>
                <w:color w:val="000000"/>
                <w:sz w:val="21"/>
              </w:rPr>
              <w:t>748 backend product tests passed. The 266 security checks are included in that total.</w:t>
            </w:r>
          </w:p>
        </w:tc>
      </w:tr>
      <w:tr>
        <w:tc>
          <w:tcPr>
            <w:tcW w:type="dxa" w:w="3816"/>
            <w:vAlign w:val="center"/>
            <w:tcMar>
              <w:top w:w="110" w:type="dxa"/>
              <w:left w:w="110" w:type="dxa"/>
              <w:bottom w:w="110" w:type="dxa"/>
              <w:right w:w="110" w:type="dxa"/>
            </w:tcMar>
            <w:tcBorders>
              <w:top w:val="single" w:sz="4" w:color="D9D9D9"/>
              <w:left w:val="single" w:sz="4" w:color="D9D9D9"/>
              <w:bottom w:val="single" w:sz="4" w:color="D9D9D9"/>
              <w:right w:val="single" w:sz="4" w:color="D9D9D9"/>
            </w:tcBorders>
            <w:shd w:fill="F6F6F6"/>
          </w:tcPr>
          <w:p>
            <w:pPr>
              <w:spacing w:after="0" w:line="276" w:lineRule="auto"/>
            </w:pPr>
            <w:r>
              <w:rPr>
                <w:rFonts w:ascii="Arial" w:hAnsi="Arial" w:cs="Arial" w:eastAsia="Arial Unicode MS"/>
                <w:b w:val="0"/>
                <w:i w:val="0"/>
                <w:color w:val="000000"/>
                <w:sz w:val="21"/>
              </w:rPr>
              <w:t>evidence/ui-polish-checks.json and browser-report.json</w:t>
            </w:r>
          </w:p>
        </w:tc>
        <w:tc>
          <w:tcPr>
            <w:tcW w:type="dxa" w:w="5472"/>
            <w:vAlign w:val="center"/>
            <w:tcMar>
              <w:top w:w="110" w:type="dxa"/>
              <w:left w:w="110" w:type="dxa"/>
              <w:bottom w:w="110" w:type="dxa"/>
              <w:right w:w="110" w:type="dxa"/>
            </w:tcMar>
            <w:tcBorders>
              <w:top w:val="single" w:sz="4" w:color="D9D9D9"/>
              <w:left w:val="single" w:sz="4" w:color="D9D9D9"/>
              <w:bottom w:val="single" w:sz="4" w:color="D9D9D9"/>
              <w:right w:val="single" w:sz="4" w:color="D9D9D9"/>
            </w:tcBorders>
            <w:shd w:fill="F6F6F6"/>
          </w:tcPr>
          <w:p>
            <w:pPr>
              <w:spacing w:after="0" w:line="276" w:lineRule="auto"/>
              <w:jc w:val="center"/>
            </w:pPr>
            <w:r>
              <w:rPr>
                <w:rFonts w:ascii="Arial" w:hAnsi="Arial" w:cs="Arial" w:eastAsia="Arial Unicode MS"/>
                <w:b w:val="0"/>
                <w:i w:val="0"/>
                <w:color w:val="000000"/>
                <w:sz w:val="21"/>
              </w:rPr>
              <w:t>107 frontend unit tests, 15 final browser checks and five accessibility scans passed; 21 screenshots were captured.</w:t>
            </w:r>
          </w:p>
        </w:tc>
      </w:tr>
      <w:tr>
        <w:tc>
          <w:tcPr>
            <w:tcW w:type="dxa" w:w="3816"/>
            <w:vAlign w:val="center"/>
            <w:tcMar>
              <w:top w:w="110" w:type="dxa"/>
              <w:left w:w="110" w:type="dxa"/>
              <w:bottom w:w="110" w:type="dxa"/>
              <w:right w:w="110" w:type="dxa"/>
            </w:tcMar>
            <w:tcBorders>
              <w:top w:val="single" w:sz="4" w:color="D9D9D9"/>
              <w:left w:val="single" w:sz="4" w:color="D9D9D9"/>
              <w:bottom w:val="single" w:sz="4" w:color="D9D9D9"/>
              <w:right w:val="single" w:sz="4" w:color="D9D9D9"/>
            </w:tcBorders>
            <w:shd w:fill="FFFFFF"/>
          </w:tcPr>
          <w:p>
            <w:pPr>
              <w:spacing w:after="0" w:line="276" w:lineRule="auto"/>
            </w:pPr>
            <w:r>
              <w:rPr>
                <w:rFonts w:ascii="Arial" w:hAnsi="Arial" w:cs="Arial" w:eastAsia="Arial Unicode MS"/>
                <w:b w:val="0"/>
                <w:i w:val="0"/>
                <w:color w:val="000000"/>
                <w:sz w:val="21"/>
              </w:rPr>
              <w:t>evidence/live-model.json</w:t>
            </w:r>
          </w:p>
        </w:tc>
        <w:tc>
          <w:tcPr>
            <w:tcW w:type="dxa" w:w="5472"/>
            <w:vAlign w:val="center"/>
            <w:tcMar>
              <w:top w:w="110" w:type="dxa"/>
              <w:left w:w="110" w:type="dxa"/>
              <w:bottom w:w="110" w:type="dxa"/>
              <w:right w:w="110" w:type="dxa"/>
            </w:tcMar>
            <w:tcBorders>
              <w:top w:val="single" w:sz="4" w:color="D9D9D9"/>
              <w:left w:val="single" w:sz="4" w:color="D9D9D9"/>
              <w:bottom w:val="single" w:sz="4" w:color="D9D9D9"/>
              <w:right w:val="single" w:sz="4" w:color="D9D9D9"/>
            </w:tcBorders>
            <w:shd w:fill="FFFFFF"/>
          </w:tcPr>
          <w:p>
            <w:pPr>
              <w:spacing w:after="0" w:line="276" w:lineRule="auto"/>
              <w:jc w:val="center"/>
            </w:pPr>
            <w:r>
              <w:rPr>
                <w:rFonts w:ascii="Arial" w:hAnsi="Arial" w:cs="Arial" w:eastAsia="Arial Unicode MS"/>
                <w:b w:val="0"/>
                <w:i w:val="0"/>
                <w:color w:val="000000"/>
                <w:sz w:val="21"/>
              </w:rPr>
              <w:t>Eight live calls: three paired extraction narratives per model, plus two Sol injection examples. Synthetic input only.</w:t>
            </w:r>
          </w:p>
        </w:tc>
      </w:tr>
      <w:tr>
        <w:tc>
          <w:tcPr>
            <w:tcW w:type="dxa" w:w="3816"/>
            <w:vAlign w:val="center"/>
            <w:tcMar>
              <w:top w:w="110" w:type="dxa"/>
              <w:left w:w="110" w:type="dxa"/>
              <w:bottom w:w="110" w:type="dxa"/>
              <w:right w:w="110" w:type="dxa"/>
            </w:tcMar>
            <w:tcBorders>
              <w:top w:val="single" w:sz="4" w:color="D9D9D9"/>
              <w:left w:val="single" w:sz="4" w:color="D9D9D9"/>
              <w:bottom w:val="single" w:sz="4" w:color="D9D9D9"/>
              <w:right w:val="single" w:sz="4" w:color="D9D9D9"/>
            </w:tcBorders>
            <w:shd w:fill="F6F6F6"/>
          </w:tcPr>
          <w:p>
            <w:pPr>
              <w:spacing w:after="0" w:line="276" w:lineRule="auto"/>
            </w:pPr>
            <w:r>
              <w:rPr>
                <w:rFonts w:ascii="Arial" w:hAnsi="Arial" w:cs="Arial" w:eastAsia="Arial Unicode MS"/>
                <w:b w:val="0"/>
                <w:i w:val="0"/>
                <w:color w:val="000000"/>
                <w:sz w:val="21"/>
              </w:rPr>
              <w:t>test-data/cases.json and answers.csv</w:t>
            </w:r>
          </w:p>
        </w:tc>
        <w:tc>
          <w:tcPr>
            <w:tcW w:type="dxa" w:w="5472"/>
            <w:vAlign w:val="center"/>
            <w:tcMar>
              <w:top w:w="110" w:type="dxa"/>
              <w:left w:w="110" w:type="dxa"/>
              <w:bottom w:w="110" w:type="dxa"/>
              <w:right w:w="110" w:type="dxa"/>
            </w:tcMar>
            <w:tcBorders>
              <w:top w:val="single" w:sz="4" w:color="D9D9D9"/>
              <w:left w:val="single" w:sz="4" w:color="D9D9D9"/>
              <w:bottom w:val="single" w:sz="4" w:color="D9D9D9"/>
              <w:right w:val="single" w:sz="4" w:color="D9D9D9"/>
            </w:tcBorders>
            <w:shd w:fill="F6F6F6"/>
          </w:tcPr>
          <w:p>
            <w:pPr>
              <w:spacing w:after="0" w:line="276" w:lineRule="auto"/>
              <w:jc w:val="center"/>
            </w:pPr>
            <w:r>
              <w:rPr>
                <w:rFonts w:ascii="Arial" w:hAnsi="Arial" w:cs="Arial" w:eastAsia="Arial Unicode MS"/>
                <w:b w:val="0"/>
                <w:i w:val="0"/>
                <w:color w:val="000000"/>
                <w:sz w:val="21"/>
              </w:rPr>
              <w:t>Detailed TC01 and TC02 field values for repeatable demonstration.</w:t>
            </w:r>
          </w:p>
        </w:tc>
      </w:tr>
      <w:tr>
        <w:tc>
          <w:tcPr>
            <w:tcW w:type="dxa" w:w="3816"/>
            <w:vAlign w:val="center"/>
            <w:tcMar>
              <w:top w:w="110" w:type="dxa"/>
              <w:left w:w="110" w:type="dxa"/>
              <w:bottom w:w="110" w:type="dxa"/>
              <w:right w:w="110" w:type="dxa"/>
            </w:tcMar>
            <w:tcBorders>
              <w:top w:val="single" w:sz="4" w:color="D9D9D9"/>
              <w:left w:val="single" w:sz="4" w:color="D9D9D9"/>
              <w:bottom w:val="single" w:sz="4" w:color="D9D9D9"/>
              <w:right w:val="single" w:sz="4" w:color="D9D9D9"/>
            </w:tcBorders>
            <w:shd w:fill="FFFFFF"/>
          </w:tcPr>
          <w:p>
            <w:pPr>
              <w:spacing w:after="0" w:line="276" w:lineRule="auto"/>
            </w:pPr>
            <w:r>
              <w:rPr>
                <w:rFonts w:ascii="Arial" w:hAnsi="Arial" w:cs="Arial" w:eastAsia="Arial Unicode MS"/>
                <w:b w:val="0"/>
                <w:i w:val="0"/>
                <w:color w:val="000000"/>
                <w:sz w:val="21"/>
              </w:rPr>
              <w:t>test-data/negative-cases.csv</w:t>
            </w:r>
          </w:p>
        </w:tc>
        <w:tc>
          <w:tcPr>
            <w:tcW w:type="dxa" w:w="5472"/>
            <w:vAlign w:val="center"/>
            <w:tcMar>
              <w:top w:w="110" w:type="dxa"/>
              <w:left w:w="110" w:type="dxa"/>
              <w:bottom w:w="110" w:type="dxa"/>
              <w:right w:w="110" w:type="dxa"/>
            </w:tcMar>
            <w:tcBorders>
              <w:top w:val="single" w:sz="4" w:color="D9D9D9"/>
              <w:left w:val="single" w:sz="4" w:color="D9D9D9"/>
              <w:bottom w:val="single" w:sz="4" w:color="D9D9D9"/>
              <w:right w:val="single" w:sz="4" w:color="D9D9D9"/>
            </w:tcBorders>
            <w:shd w:fill="FFFFFF"/>
          </w:tcPr>
          <w:p>
            <w:pPr>
              <w:spacing w:after="0" w:line="276" w:lineRule="auto"/>
              <w:jc w:val="center"/>
            </w:pPr>
            <w:r>
              <w:rPr>
                <w:rFonts w:ascii="Arial" w:hAnsi="Arial" w:cs="Arial" w:eastAsia="Arial Unicode MS"/>
                <w:b w:val="0"/>
                <w:i w:val="0"/>
                <w:color w:val="000000"/>
                <w:sz w:val="21"/>
              </w:rPr>
              <w:t>Planned negative scenarios; use recorded execution evidence to state outcomes.</w:t>
            </w:r>
          </w:p>
        </w:tc>
      </w:tr>
      <w:tr>
        <w:tc>
          <w:tcPr>
            <w:tcW w:type="dxa" w:w="3816"/>
            <w:vAlign w:val="center"/>
            <w:tcMar>
              <w:top w:w="110" w:type="dxa"/>
              <w:left w:w="110" w:type="dxa"/>
              <w:bottom w:w="110" w:type="dxa"/>
              <w:right w:w="110" w:type="dxa"/>
            </w:tcMar>
            <w:tcBorders>
              <w:top w:val="single" w:sz="4" w:color="D9D9D9"/>
              <w:left w:val="single" w:sz="4" w:color="D9D9D9"/>
              <w:bottom w:val="single" w:sz="4" w:color="D9D9D9"/>
              <w:right w:val="single" w:sz="4" w:color="D9D9D9"/>
            </w:tcBorders>
            <w:shd w:fill="F6F6F6"/>
          </w:tcPr>
          <w:p>
            <w:pPr>
              <w:spacing w:after="0" w:line="276" w:lineRule="auto"/>
            </w:pPr>
            <w:r>
              <w:rPr>
                <w:rFonts w:ascii="Arial" w:hAnsi="Arial" w:cs="Arial" w:eastAsia="Arial Unicode MS"/>
                <w:b w:val="0"/>
                <w:i w:val="0"/>
                <w:color w:val="000000"/>
                <w:sz w:val="21"/>
              </w:rPr>
              <w:t>talk-track.json</w:t>
            </w:r>
          </w:p>
        </w:tc>
        <w:tc>
          <w:tcPr>
            <w:tcW w:type="dxa" w:w="5472"/>
            <w:vAlign w:val="center"/>
            <w:tcMar>
              <w:top w:w="110" w:type="dxa"/>
              <w:left w:w="110" w:type="dxa"/>
              <w:bottom w:w="110" w:type="dxa"/>
              <w:right w:w="110" w:type="dxa"/>
            </w:tcMar>
            <w:tcBorders>
              <w:top w:val="single" w:sz="4" w:color="D9D9D9"/>
              <w:left w:val="single" w:sz="4" w:color="D9D9D9"/>
              <w:bottom w:val="single" w:sz="4" w:color="D9D9D9"/>
              <w:right w:val="single" w:sz="4" w:color="D9D9D9"/>
            </w:tcBorders>
            <w:shd w:fill="F6F6F6"/>
          </w:tcPr>
          <w:p>
            <w:pPr>
              <w:spacing w:after="0" w:line="276" w:lineRule="auto"/>
              <w:jc w:val="center"/>
            </w:pPr>
            <w:r>
              <w:rPr>
                <w:rFonts w:ascii="Arial" w:hAnsi="Arial" w:cs="Arial" w:eastAsia="Arial Unicode MS"/>
                <w:b w:val="0"/>
                <w:i w:val="0"/>
                <w:color w:val="000000"/>
                <w:sz w:val="21"/>
              </w:rPr>
              <w:t>Slide timing, English scripts, Chinese rehearsal cues, handoffs and source references.</w:t>
            </w:r>
          </w:p>
        </w:tc>
      </w:tr>
    </w:tbl>
    <w:p>
      <w:pPr>
        <w:pStyle w:val="Heading2"/>
        <w:spacing w:before="220"/>
      </w:pPr>
      <w:r>
        <w:rPr>
          <w:rFonts w:ascii="Arial" w:hAnsi="Arial" w:cs="Arial" w:eastAsia="Arial Unicode MS"/>
          <w:b/>
          <w:i w:val="0"/>
          <w:color w:val="000000"/>
          <w:sz w:val="27"/>
        </w:rPr>
        <w:t>Facts to keep consistent</w:t>
      </w:r>
    </w:p>
    <w:p>
      <w:pPr>
        <w:keepNext w:val="0"/>
        <w:spacing w:after="160" w:before="0"/>
      </w:pPr>
      <w:r>
        <w:rPr>
          <w:rFonts w:ascii="Arial" w:hAnsi="Arial" w:cs="Arial" w:eastAsia="Arial Unicode MS"/>
          <w:b w:val="0"/>
          <w:i w:val="0"/>
          <w:color w:val="000000"/>
          <w:sz w:val="22"/>
        </w:rPr>
        <w:t>New preparations default to GPT-6 Sol. Extraction uses low effort; final reports use medium. The live extraction median was 7.677 seconds for Sol and 13.053 seconds for the previous Astra configuration, with three successful samples per model. This is a small configuration comparison, not an end-to-end latency guarantee.</w:t>
      </w:r>
    </w:p>
    <w:p>
      <w:pPr>
        <w:keepNext w:val="0"/>
        <w:spacing w:after="160" w:before="0"/>
      </w:pPr>
      <w:r>
        <w:rPr>
          <w:rFonts w:ascii="Arial" w:hAnsi="Arial" w:cs="Arial" w:eastAsia="Arial Unicode MS"/>
          <w:b w:val="0"/>
          <w:i w:val="0"/>
          <w:color w:val="000000"/>
          <w:sz w:val="22"/>
        </w:rPr>
        <w:t>The two live injection examples had no connected patient database or execution tools. API authorisation tests address access to other records. Neither result establishes clinical accuracy or complete resistance to every adversarial prompt.</w:t>
      </w:r>
    </w:p>
    <w:p>
      <w:pPr>
        <w:keepNext w:val="0"/>
        <w:spacing w:after="160" w:before="0"/>
      </w:pPr>
      <w:r>
        <w:rPr>
          <w:rFonts w:ascii="Arial" w:hAnsi="Arial" w:cs="Arial" w:eastAsia="Arial Unicode MS"/>
          <w:b w:val="0"/>
          <w:i w:val="0"/>
          <w:color w:val="000000"/>
          <w:sz w:val="22"/>
        </w:rPr>
        <w:t>Registration verifies email ownership, not medical licensure. The current doctor account role is not a credential-verification service.</w:t>
      </w:r>
    </w:p>
    <w:p>
      <w:pPr>
        <w:keepNext w:val="0"/>
        <w:spacing w:after="160" w:before="0"/>
      </w:pPr>
      <w:r>
        <w:rPr>
          <w:rFonts w:ascii="Arial" w:hAnsi="Arial" w:cs="Arial" w:eastAsia="Arial Unicode MS"/>
          <w:b w:val="0"/>
          <w:i w:val="0"/>
          <w:color w:val="000000"/>
          <w:sz w:val="22"/>
        </w:rPr>
        <w:t>The registered names used here follow the report: Heeran Shin, Guopeng Tan, Robin Kim, Haobo Wang and Hengyu Wang. Keep this spelling consistent on the deck and in the introduction.</w:t>
      </w:r>
    </w:p>
    <w:p>
      <w:pPr>
        <w:spacing w:after="160" w:line="276" w:lineRule="auto"/>
      </w:pPr>
      <w:r>
        <w:rPr>
          <w:rFonts w:ascii="Arial" w:hAnsi="Arial" w:cs="Arial" w:eastAsia="Arial Unicode MS"/>
          <w:b/>
          <w:i w:val="0"/>
          <w:color w:val="000000"/>
          <w:sz w:val="21"/>
        </w:rPr>
        <w:t xml:space="preserve">排练提示  </w:t>
      </w:r>
      <w:r>
        <w:rPr>
          <w:rFonts w:ascii="Arial" w:hAnsi="Arial" w:cs="Arial" w:eastAsia="Arial Unicode MS"/>
          <w:b w:val="0"/>
          <w:i w:val="0"/>
          <w:color w:val="444444"/>
          <w:sz w:val="21"/>
        </w:rPr>
        <w:t>不要把266项安全测试与748项后端测试相加；不要把3个时延样本说成大量用户研究；不要把截图中的受控AI内容说成临床验证。</w:t>
      </w:r>
    </w:p>
    <w:sectPr w:rsidR="00FC693F" w:rsidRPr="0006063C" w:rsidSect="00034616">
      <w:footerReference w:type="default" r:id="rId9"/>
      <w:pgSz w:w="11909" w:h="16834"/>
      <w:pgMar w:top="1037" w:right="1094" w:bottom="1008" w:left="1094"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s="Arial" w:eastAsia="Arial Unicode MS"/>
        <w:b w:val="0"/>
        <w:i w:val="0"/>
        <w:color w:val="666666"/>
        <w:sz w:val="18"/>
      </w:rPr>
      <w:t xml:space="preserve">PreConsult speaker guide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80" w:line="278" w:lineRule="auto"/>
    </w:pPr>
    <w:rPr>
      <w:rFonts w:ascii="Arial" w:hAnsi="Arial" w:eastAsia="Arial Unicode MS"/>
      <w:b w:val="0"/>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480" w:after="240" w:line="278" w:lineRule="auto"/>
      <w:outlineLvl w:val="0"/>
    </w:pPr>
    <w:rPr>
      <w:rFonts w:ascii="Arial" w:hAnsi="Arial" w:eastAsia="Arial Unicode MS"/>
      <w:b/>
      <w:bCs/>
      <w:color w:val="000000"/>
      <w:sz w:val="42"/>
      <w:szCs w:val="28"/>
    </w:rPr>
  </w:style>
  <w:style w:type="paragraph" w:styleId="Heading2">
    <w:name w:val="heading 2"/>
    <w:basedOn w:val="Normal"/>
    <w:next w:val="Normal"/>
    <w:link w:val="Heading2Char"/>
    <w:uiPriority w:val="9"/>
    <w:unhideWhenUsed/>
    <w:qFormat/>
    <w:rsid w:val="00FC693F"/>
    <w:pPr>
      <w:keepNext/>
      <w:keepLines/>
      <w:widowControl/>
      <w:spacing w:before="200" w:after="240" w:line="278" w:lineRule="auto"/>
      <w:outlineLvl w:val="1"/>
    </w:pPr>
    <w:rPr>
      <w:rFonts w:ascii="Arial" w:hAnsi="Arial" w:eastAsia="Arial Unicode MS"/>
      <w:b/>
      <w:bCs/>
      <w:color w:val="000000"/>
      <w:sz w:val="27"/>
      <w:szCs w:val="26"/>
    </w:rPr>
  </w:style>
  <w:style w:type="paragraph" w:styleId="Heading3">
    <w:name w:val="heading 3"/>
    <w:basedOn w:val="Normal"/>
    <w:next w:val="Normal"/>
    <w:link w:val="Heading3Char"/>
    <w:uiPriority w:val="9"/>
    <w:unhideWhenUsed/>
    <w:qFormat/>
    <w:rsid w:val="00FC693F"/>
    <w:pPr>
      <w:keepNext/>
      <w:keepLines/>
      <w:widowControl/>
      <w:spacing w:before="200" w:after="240" w:line="278" w:lineRule="auto"/>
      <w:outlineLvl w:val="2"/>
    </w:pPr>
    <w:rPr>
      <w:rFonts w:ascii="Arial" w:hAnsi="Arial" w:eastAsia="Arial Unicode MS"/>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240" w:line="278" w:lineRule="auto"/>
      <w:contextualSpacing/>
    </w:pPr>
    <w:rPr>
      <w:rFonts w:ascii="Arial" w:hAnsi="Arial" w:eastAsia="Arial Unicode MS"/>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after="240" w:line="278" w:lineRule="auto"/>
    </w:pPr>
    <w:rPr>
      <w:rFonts w:ascii="Arial" w:hAnsi="Arial" w:eastAsia="Arial Unicode MS"/>
      <w:b w:val="0"/>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PreConsult Final Presentation Speaker Guide</dc:title>
  <dc:subject>Eight minute group presentation and question preparation</dc:subject>
  <dc:creator>ELEC5623 Group 9</dc:creator>
  <cp:keywords>PreConsult, presentation, speaker guide, synthetic evaluation</cp:keywords>
  <dc:description>generated by python-docx</dc:description>
  <cp:lastModifiedBy/>
  <cp:revision>1</cp:revision>
  <dcterms:created xsi:type="dcterms:W3CDTF">2013-12-23T23:15:00Z</dcterms:created>
  <dcterms:modified xsi:type="dcterms:W3CDTF">2013-12-23T23:15:00Z</dcterms:modified>
  <cp:category/>
</cp:coreProperties>
</file>