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mc:Ignorable="w14 w15 w16se w16cid w16 w16cex w16sdtdh w16sdtfl w16du wp14">
  <w:body>
    <w:p w:rsidRPr="00DC0576" w:rsidR="008D246E" w:rsidP="008D246E" w:rsidRDefault="008D246E" w14:paraId="2BAC1618" w14:textId="77777777">
      <w:pPr>
        <w:spacing w:before="200" w:after="600"/>
        <w:jc w:val="center"/>
        <w:rPr>
          <w:rFonts w:ascii="Times New Roman" w:hAnsi="Times New Roman" w:cs="Times New Roman"/>
        </w:rPr>
      </w:pPr>
      <w:r w:rsidRPr="00DC0576">
        <w:rPr>
          <w:rFonts w:ascii="Times New Roman" w:hAnsi="Times New Roman" w:cs="Times New Roman"/>
          <w:noProof/>
        </w:rPr>
        <w:drawing>
          <wp:inline distT="0" distB="0" distL="0" distR="0" wp14:anchorId="5E6DA24C" wp14:editId="2DF12DB8">
            <wp:extent cx="2996588" cy="1138703"/>
            <wp:effectExtent l="0" t="0" r="635" b="4445"/>
            <wp:docPr id="1749116758" name="Picture 1749116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027476" cy="1150441"/>
                    </a:xfrm>
                    <a:prstGeom prst="rect">
                      <a:avLst/>
                    </a:prstGeom>
                  </pic:spPr>
                </pic:pic>
              </a:graphicData>
            </a:graphic>
          </wp:inline>
        </w:drawing>
      </w:r>
    </w:p>
    <w:p w:rsidRPr="00DC0576" w:rsidR="008D246E" w:rsidP="008D246E" w:rsidRDefault="008D246E" w14:paraId="03D8537D" w14:textId="77777777">
      <w:pPr>
        <w:pStyle w:val="Title"/>
        <w:spacing w:after="160"/>
        <w:jc w:val="center"/>
        <w:rPr>
          <w:rFonts w:ascii="Times New Roman" w:hAnsi="Times New Roman" w:cs="Times New Roman"/>
        </w:rPr>
      </w:pPr>
      <w:r>
        <w:rPr>
          <w:rFonts w:ascii="Times New Roman" w:hAnsi="Times New Roman" w:eastAsia="Arial" w:cs="Times New Roman"/>
          <w:b/>
          <w:bCs/>
          <w:color w:val="1F3864"/>
          <w:sz w:val="48"/>
          <w:szCs w:val="48"/>
        </w:rPr>
        <w:t>Preconsultation Preparation Agent</w:t>
      </w:r>
    </w:p>
    <w:p w:rsidRPr="00DC0576" w:rsidR="008D246E" w:rsidP="008D246E" w:rsidRDefault="008D246E" w14:paraId="1D07A1CD" w14:textId="77777777">
      <w:pPr>
        <w:spacing w:after="100"/>
        <w:jc w:val="center"/>
        <w:rPr>
          <w:rFonts w:ascii="Times New Roman" w:hAnsi="Times New Roman" w:cs="Times New Roman"/>
        </w:rPr>
      </w:pPr>
      <w:r w:rsidRPr="00DC0576">
        <w:rPr>
          <w:rFonts w:ascii="Times New Roman" w:hAnsi="Times New Roman" w:eastAsia="Arial" w:cs="Times New Roman"/>
          <w:b/>
          <w:bCs/>
          <w:color w:val="262626"/>
          <w:sz w:val="28"/>
          <w:szCs w:val="28"/>
        </w:rPr>
        <w:t>Final Report for ELEC5623</w:t>
      </w:r>
    </w:p>
    <w:p w:rsidRPr="00DC0576" w:rsidR="003446BB" w:rsidP="008D246E" w:rsidRDefault="003446BB" w14:paraId="4039C5F7" w14:textId="77777777">
      <w:pPr>
        <w:spacing w:after="360"/>
        <w:jc w:val="center"/>
        <w:rPr>
          <w:rFonts w:ascii="Times New Roman" w:hAnsi="Times New Roman" w:eastAsia="Arial" w:cs="Times New Roman"/>
          <w:i/>
          <w:iCs/>
          <w:color w:val="595959"/>
        </w:rPr>
      </w:pPr>
    </w:p>
    <w:p w:rsidRPr="00DC0576" w:rsidR="008D246E" w:rsidP="008D246E" w:rsidRDefault="008D246E" w14:paraId="724AEBBC" w14:textId="316D1134">
      <w:pPr>
        <w:spacing w:after="360"/>
        <w:jc w:val="center"/>
        <w:rPr>
          <w:rFonts w:ascii="Times New Roman" w:hAnsi="Times New Roman" w:eastAsia="Arial" w:cs="Times New Roman"/>
          <w:i/>
          <w:iCs/>
          <w:color w:val="595959"/>
        </w:rPr>
      </w:pPr>
      <w:r w:rsidRPr="00DC0576">
        <w:rPr>
          <w:rFonts w:ascii="Times New Roman" w:hAnsi="Times New Roman" w:eastAsia="Arial" w:cs="Times New Roman"/>
          <w:i/>
          <w:iCs/>
          <w:color w:val="595959"/>
        </w:rPr>
        <w:t xml:space="preserve">Track A - AI Agent </w:t>
      </w:r>
      <w:r w:rsidRPr="00DC0576">
        <w:rPr>
          <w:rFonts w:ascii="Times New Roman" w:hAnsi="Times New Roman" w:eastAsia="Arial" w:cs="Times New Roman"/>
          <w:i/>
          <w:iCs/>
          <w:color w:val="595959"/>
        </w:rPr>
        <w:t>Product</w:t>
      </w:r>
    </w:p>
    <w:p w:rsidRPr="00DC0576" w:rsidR="008D246E" w:rsidP="008D246E" w:rsidRDefault="008D246E" w14:paraId="48D70293" w14:textId="12160859">
      <w:pPr>
        <w:spacing w:after="360"/>
        <w:jc w:val="center"/>
        <w:rPr>
          <w:rFonts w:ascii="Times New Roman" w:hAnsi="Times New Roman" w:cs="Times New Roman"/>
        </w:rPr>
      </w:pPr>
      <w:r>
        <w:rPr>
          <w:rFonts w:ascii="Times New Roman" w:hAnsi="Times New Roman" w:eastAsia="Arial" w:cs="Times New Roman"/>
          <w:i/>
          <w:iCs/>
          <w:color w:val="595959"/>
          <w:sz w:val="22"/>
        </w:rPr>
        <w:t>Assessment 2 Final Report and Product Delivery</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000"/>
        <w:gridCol w:w="6026"/>
      </w:tblGrid>
      <w:tr w:rsidRPr="00DC0576" w:rsidR="008D246E" w:rsidTr="008D246E" w14:paraId="7499C5C4" w14:textId="77777777">
        <w:tblPrEx>
          <w:tblCellMar>
            <w:top w:w="0" w:type="dxa"/>
            <w:bottom w:w="0" w:type="dxa"/>
          </w:tblCellMar>
        </w:tblPrEx>
        <w:tc>
          <w:tcPr>
            <w:tcW w:w="3000" w:type="dxa"/>
            <w:shd w:val="clear" w:color="auto" w:fill="EEF3FA"/>
            <w:tcMar>
              <w:top w:w="90" w:type="dxa"/>
              <w:left w:w="140" w:type="dxa"/>
              <w:bottom w:w="90" w:type="dxa"/>
              <w:right w:w="140" w:type="dxa"/>
            </w:tcMar>
          </w:tcPr>
          <w:p w:rsidRPr="00DC0576" w:rsidR="008D246E" w:rsidP="00CC58B2" w:rsidRDefault="008D246E" w14:paraId="7B8A97B7" w14:textId="77777777">
            <w:pPr>
              <w:spacing w:after="0" w:line="240" w:lineRule="auto"/>
              <w:rPr>
                <w:rFonts w:ascii="Times New Roman" w:hAnsi="Times New Roman" w:cs="Times New Roman"/>
              </w:rPr>
            </w:pPr>
            <w:r w:rsidRPr="00DC0576">
              <w:rPr>
                <w:rFonts w:ascii="Times New Roman" w:hAnsi="Times New Roman" w:eastAsia="Arial" w:cs="Times New Roman"/>
                <w:b/>
                <w:bCs/>
                <w:color w:val="1F3864"/>
                <w:sz w:val="20"/>
                <w:szCs w:val="20"/>
              </w:rPr>
              <w:t>Project Group</w:t>
            </w:r>
          </w:p>
        </w:tc>
        <w:tc>
          <w:tcPr>
            <w:tcW w:w="6026" w:type="dxa"/>
            <w:tcMar>
              <w:top w:w="90" w:type="dxa"/>
              <w:left w:w="140" w:type="dxa"/>
              <w:bottom w:w="90" w:type="dxa"/>
              <w:right w:w="140" w:type="dxa"/>
            </w:tcMar>
          </w:tcPr>
          <w:p w:rsidRPr="00DC0576" w:rsidR="008D246E" w:rsidP="00CC58B2" w:rsidRDefault="008D246E" w14:paraId="0EEB5147" w14:textId="77777777">
            <w:pPr>
              <w:spacing w:after="0" w:line="240" w:lineRule="auto"/>
              <w:rPr>
                <w:rFonts w:ascii="Times New Roman" w:hAnsi="Times New Roman" w:cs="Times New Roman"/>
              </w:rPr>
            </w:pPr>
            <w:r w:rsidRPr="00DC0576">
              <w:rPr>
                <w:rFonts w:ascii="Times New Roman" w:hAnsi="Times New Roman" w:eastAsia="Arial" w:cs="Times New Roman"/>
                <w:sz w:val="20"/>
                <w:szCs w:val="20"/>
              </w:rPr>
              <w:t>Group 9</w:t>
            </w:r>
          </w:p>
        </w:tc>
      </w:tr>
      <w:tr w:rsidRPr="00DC0576" w:rsidR="008D246E" w:rsidTr="008D246E" w14:paraId="01593D02" w14:textId="77777777">
        <w:tblPrEx>
          <w:tblCellMar>
            <w:top w:w="0" w:type="dxa"/>
            <w:bottom w:w="0" w:type="dxa"/>
          </w:tblCellMar>
        </w:tblPrEx>
        <w:tc>
          <w:tcPr>
            <w:tcW w:w="3000" w:type="dxa"/>
            <w:shd w:val="clear" w:color="auto" w:fill="EEF3FA"/>
            <w:tcMar>
              <w:top w:w="90" w:type="dxa"/>
              <w:left w:w="140" w:type="dxa"/>
              <w:bottom w:w="90" w:type="dxa"/>
              <w:right w:w="140" w:type="dxa"/>
            </w:tcMar>
          </w:tcPr>
          <w:p w:rsidRPr="00DC0576" w:rsidR="008D246E" w:rsidP="00CC58B2" w:rsidRDefault="008D246E" w14:paraId="4A44DA27" w14:textId="77777777">
            <w:pPr>
              <w:spacing w:after="0" w:line="240" w:lineRule="auto"/>
              <w:rPr>
                <w:rFonts w:ascii="Times New Roman" w:hAnsi="Times New Roman" w:cs="Times New Roman"/>
              </w:rPr>
            </w:pPr>
            <w:r w:rsidRPr="00DC0576">
              <w:rPr>
                <w:rFonts w:ascii="Times New Roman" w:hAnsi="Times New Roman" w:eastAsia="Arial" w:cs="Times New Roman"/>
                <w:b/>
                <w:bCs/>
                <w:color w:val="1F3864"/>
                <w:sz w:val="20"/>
                <w:szCs w:val="20"/>
              </w:rPr>
              <w:t>Product</w:t>
            </w:r>
          </w:p>
        </w:tc>
        <w:tc>
          <w:tcPr>
            <w:tcW w:w="6026" w:type="dxa"/>
            <w:tcMar>
              <w:top w:w="90" w:type="dxa"/>
              <w:left w:w="140" w:type="dxa"/>
              <w:bottom w:w="90" w:type="dxa"/>
              <w:right w:w="140" w:type="dxa"/>
            </w:tcMar>
          </w:tcPr>
          <w:p w:rsidRPr="00DC0576" w:rsidR="008D246E" w:rsidP="00CC58B2" w:rsidRDefault="008D246E" w14:paraId="4E71DDDD" w14:textId="77777777">
            <w:pPr>
              <w:spacing w:after="0" w:line="240" w:lineRule="auto"/>
              <w:rPr>
                <w:rFonts w:ascii="Times New Roman" w:hAnsi="Times New Roman" w:cs="Times New Roman"/>
              </w:rPr>
            </w:pPr>
            <w:proofErr w:type="spellStart"/>
            <w:r w:rsidRPr="00DC0576">
              <w:rPr>
                <w:rFonts w:ascii="Times New Roman" w:hAnsi="Times New Roman" w:eastAsia="Arial" w:cs="Times New Roman"/>
                <w:sz w:val="20"/>
                <w:szCs w:val="20"/>
              </w:rPr>
              <w:t>PreConsult</w:t>
            </w:r>
            <w:proofErr w:type="spellEnd"/>
          </w:p>
        </w:tc>
      </w:tr>
      <w:tr w:rsidRPr="00DC0576" w:rsidR="008D246E" w:rsidTr="008D246E" w14:paraId="0FC7518A" w14:textId="77777777">
        <w:tblPrEx>
          <w:tblCellMar>
            <w:top w:w="0" w:type="dxa"/>
            <w:bottom w:w="0" w:type="dxa"/>
          </w:tblCellMar>
        </w:tblPrEx>
        <w:tc>
          <w:tcPr>
            <w:tcW w:w="3000" w:type="dxa"/>
            <w:shd w:val="clear" w:color="auto" w:fill="EEF3FA"/>
            <w:tcMar>
              <w:top w:w="90" w:type="dxa"/>
              <w:left w:w="140" w:type="dxa"/>
              <w:bottom w:w="90" w:type="dxa"/>
              <w:right w:w="140" w:type="dxa"/>
            </w:tcMar>
          </w:tcPr>
          <w:p w:rsidRPr="00DC0576" w:rsidR="008D246E" w:rsidP="00CC58B2" w:rsidRDefault="008D246E" w14:paraId="57862169" w14:textId="77777777">
            <w:pPr>
              <w:spacing w:after="0" w:line="240" w:lineRule="auto"/>
              <w:rPr>
                <w:rFonts w:ascii="Times New Roman" w:hAnsi="Times New Roman" w:cs="Times New Roman"/>
              </w:rPr>
            </w:pPr>
            <w:r w:rsidRPr="00DC0576">
              <w:rPr>
                <w:rFonts w:ascii="Times New Roman" w:hAnsi="Times New Roman" w:eastAsia="Arial" w:cs="Times New Roman"/>
                <w:b/>
                <w:bCs/>
                <w:color w:val="1F3864"/>
                <w:sz w:val="20"/>
                <w:szCs w:val="20"/>
              </w:rPr>
              <w:t>Tutor</w:t>
            </w:r>
          </w:p>
        </w:tc>
        <w:tc>
          <w:tcPr>
            <w:tcW w:w="6026" w:type="dxa"/>
            <w:tcMar>
              <w:top w:w="90" w:type="dxa"/>
              <w:left w:w="140" w:type="dxa"/>
              <w:bottom w:w="90" w:type="dxa"/>
              <w:right w:w="140" w:type="dxa"/>
            </w:tcMar>
          </w:tcPr>
          <w:p w:rsidRPr="00DC0576" w:rsidR="008D246E" w:rsidP="00CC58B2" w:rsidRDefault="008D246E" w14:paraId="4FBC8F03" w14:textId="77777777">
            <w:pPr>
              <w:spacing w:after="0" w:line="240" w:lineRule="auto"/>
              <w:rPr>
                <w:rFonts w:ascii="Times New Roman" w:hAnsi="Times New Roman" w:cs="Times New Roman"/>
              </w:rPr>
            </w:pPr>
            <w:proofErr w:type="spellStart"/>
            <w:r w:rsidRPr="00DC0576">
              <w:rPr>
                <w:rFonts w:ascii="Times New Roman" w:hAnsi="Times New Roman" w:eastAsia="Arial" w:cs="Times New Roman"/>
                <w:sz w:val="20"/>
                <w:szCs w:val="20"/>
              </w:rPr>
              <w:t>Linghan</w:t>
            </w:r>
            <w:proofErr w:type="spellEnd"/>
            <w:r w:rsidRPr="00DC0576">
              <w:rPr>
                <w:rFonts w:ascii="Times New Roman" w:hAnsi="Times New Roman" w:eastAsia="Arial" w:cs="Times New Roman"/>
                <w:sz w:val="20"/>
                <w:szCs w:val="20"/>
              </w:rPr>
              <w:t xml:space="preserve"> Huang</w:t>
            </w:r>
          </w:p>
        </w:tc>
      </w:tr>
      <w:tr w:rsidRPr="00DC0576" w:rsidR="008D246E" w:rsidTr="008D246E" w14:paraId="2F3B0AE6" w14:textId="77777777">
        <w:tblPrEx>
          <w:tblCellMar>
            <w:top w:w="0" w:type="dxa"/>
            <w:bottom w:w="0" w:type="dxa"/>
          </w:tblCellMar>
        </w:tblPrEx>
        <w:tc>
          <w:tcPr>
            <w:tcW w:w="3000" w:type="dxa"/>
            <w:shd w:val="clear" w:color="auto" w:fill="EEF3FA"/>
            <w:tcMar>
              <w:top w:w="90" w:type="dxa"/>
              <w:left w:w="140" w:type="dxa"/>
              <w:bottom w:w="90" w:type="dxa"/>
              <w:right w:w="140" w:type="dxa"/>
            </w:tcMar>
          </w:tcPr>
          <w:p w:rsidRPr="00DC0576" w:rsidR="008D246E" w:rsidP="00CC58B2" w:rsidRDefault="008D246E" w14:paraId="6C8FE0BD" w14:textId="77777777">
            <w:pPr>
              <w:spacing w:after="0" w:line="240" w:lineRule="auto"/>
              <w:rPr>
                <w:rFonts w:ascii="Times New Roman" w:hAnsi="Times New Roman" w:cs="Times New Roman"/>
              </w:rPr>
            </w:pPr>
            <w:r w:rsidRPr="00DC0576">
              <w:rPr>
                <w:rFonts w:ascii="Times New Roman" w:hAnsi="Times New Roman" w:eastAsia="Arial" w:cs="Times New Roman"/>
                <w:b/>
                <w:bCs/>
                <w:color w:val="1F3864"/>
                <w:sz w:val="20"/>
                <w:szCs w:val="20"/>
              </w:rPr>
              <w:t>Unit Coordinator</w:t>
            </w:r>
          </w:p>
        </w:tc>
        <w:tc>
          <w:tcPr>
            <w:tcW w:w="6026" w:type="dxa"/>
            <w:tcMar>
              <w:top w:w="90" w:type="dxa"/>
              <w:left w:w="140" w:type="dxa"/>
              <w:bottom w:w="90" w:type="dxa"/>
              <w:right w:w="140" w:type="dxa"/>
            </w:tcMar>
          </w:tcPr>
          <w:p w:rsidRPr="00DC0576" w:rsidR="008D246E" w:rsidP="00CC58B2" w:rsidRDefault="008D246E" w14:paraId="66ADA90B" w14:textId="77777777">
            <w:pPr>
              <w:spacing w:after="0" w:line="240" w:lineRule="auto"/>
              <w:rPr>
                <w:rFonts w:ascii="Times New Roman" w:hAnsi="Times New Roman" w:cs="Times New Roman"/>
              </w:rPr>
            </w:pPr>
            <w:r w:rsidRPr="00DC0576">
              <w:rPr>
                <w:rFonts w:ascii="Times New Roman" w:hAnsi="Times New Roman" w:eastAsia="Arial" w:cs="Times New Roman"/>
                <w:sz w:val="20"/>
                <w:szCs w:val="20"/>
              </w:rPr>
              <w:t xml:space="preserve">Dr </w:t>
            </w:r>
            <w:proofErr w:type="spellStart"/>
            <w:r w:rsidRPr="00DC0576">
              <w:rPr>
                <w:rFonts w:ascii="Times New Roman" w:hAnsi="Times New Roman" w:eastAsia="Arial" w:cs="Times New Roman"/>
                <w:sz w:val="20"/>
                <w:szCs w:val="20"/>
              </w:rPr>
              <w:t>Huaming</w:t>
            </w:r>
            <w:proofErr w:type="spellEnd"/>
            <w:r w:rsidRPr="00DC0576">
              <w:rPr>
                <w:rFonts w:ascii="Times New Roman" w:hAnsi="Times New Roman" w:eastAsia="Arial" w:cs="Times New Roman"/>
                <w:sz w:val="20"/>
                <w:szCs w:val="20"/>
              </w:rPr>
              <w:t xml:space="preserve"> Chen</w:t>
            </w:r>
          </w:p>
        </w:tc>
      </w:tr>
      <w:tr w:rsidRPr="00DC0576" w:rsidR="008D246E" w:rsidTr="008D246E" w14:paraId="74EC0AC8" w14:textId="77777777">
        <w:tblPrEx>
          <w:tblCellMar>
            <w:top w:w="0" w:type="dxa"/>
            <w:bottom w:w="0" w:type="dxa"/>
          </w:tblCellMar>
        </w:tblPrEx>
        <w:tc>
          <w:tcPr>
            <w:tcW w:w="3000" w:type="dxa"/>
            <w:shd w:val="clear" w:color="auto" w:fill="EEF3FA"/>
            <w:tcMar>
              <w:top w:w="90" w:type="dxa"/>
              <w:left w:w="140" w:type="dxa"/>
              <w:bottom w:w="90" w:type="dxa"/>
              <w:right w:w="140" w:type="dxa"/>
            </w:tcMar>
          </w:tcPr>
          <w:p w:rsidRPr="00DC0576" w:rsidR="008D246E" w:rsidP="00CC58B2" w:rsidRDefault="008D246E" w14:paraId="071DF5B8" w14:textId="77777777">
            <w:pPr>
              <w:spacing w:after="0" w:line="240" w:lineRule="auto"/>
              <w:rPr>
                <w:rFonts w:ascii="Times New Roman" w:hAnsi="Times New Roman" w:cs="Times New Roman"/>
              </w:rPr>
            </w:pPr>
            <w:r>
              <w:rPr>
                <w:rFonts w:ascii="Times New Roman" w:hAnsi="Times New Roman" w:eastAsia="Arial" w:cs="Times New Roman"/>
                <w:b/>
                <w:bCs/>
                <w:color w:val="1F3864"/>
                <w:sz w:val="20"/>
                <w:szCs w:val="20"/>
              </w:rPr>
              <w:t>Submission deadline</w:t>
            </w:r>
          </w:p>
        </w:tc>
        <w:tc>
          <w:tcPr>
            <w:tcW w:w="6026" w:type="dxa"/>
            <w:tcMar>
              <w:top w:w="90" w:type="dxa"/>
              <w:left w:w="140" w:type="dxa"/>
              <w:bottom w:w="90" w:type="dxa"/>
              <w:right w:w="140" w:type="dxa"/>
            </w:tcMar>
          </w:tcPr>
          <w:p w:rsidRPr="00DC0576" w:rsidR="008D246E" w:rsidP="00CC58B2" w:rsidRDefault="008D246E" w14:paraId="2368575B" w14:textId="77777777">
            <w:pPr>
              <w:spacing w:after="0" w:line="240" w:lineRule="auto"/>
              <w:rPr>
                <w:rFonts w:ascii="Times New Roman" w:hAnsi="Times New Roman" w:cs="Times New Roman"/>
              </w:rPr>
            </w:pPr>
            <w:r w:rsidRPr="00DC0576">
              <w:rPr>
                <w:rFonts w:ascii="Times New Roman" w:hAnsi="Times New Roman" w:eastAsia="Arial" w:cs="Times New Roman"/>
                <w:sz w:val="20"/>
                <w:szCs w:val="20"/>
              </w:rPr>
              <w:t>3 November 2026</w:t>
            </w:r>
          </w:p>
        </w:tc>
      </w:tr>
      <w:tr w:rsidRPr="00DC0576" w:rsidR="008D246E" w:rsidTr="008D246E" w14:paraId="4ADF6F7B" w14:textId="77777777">
        <w:tblPrEx>
          <w:tblCellMar>
            <w:top w:w="0" w:type="dxa"/>
            <w:bottom w:w="0" w:type="dxa"/>
          </w:tblCellMar>
        </w:tblPrEx>
        <w:tc>
          <w:tcPr>
            <w:tcW w:w="3000" w:type="dxa"/>
            <w:shd w:val="clear" w:color="auto" w:fill="EEF3FA"/>
            <w:tcMar>
              <w:top w:w="90" w:type="dxa"/>
              <w:left w:w="140" w:type="dxa"/>
              <w:bottom w:w="90" w:type="dxa"/>
              <w:right w:w="140" w:type="dxa"/>
            </w:tcMar>
          </w:tcPr>
          <w:p w:rsidRPr="00DC0576" w:rsidR="008D246E" w:rsidP="00CC58B2" w:rsidRDefault="008D246E" w14:paraId="1E669ADC" w14:textId="77777777">
            <w:pPr>
              <w:spacing w:after="0" w:line="240" w:lineRule="auto"/>
              <w:rPr>
                <w:rFonts w:ascii="Times New Roman" w:hAnsi="Times New Roman" w:cs="Times New Roman"/>
              </w:rPr>
            </w:pPr>
            <w:r w:rsidRPr="00DC0576">
              <w:rPr>
                <w:rFonts w:ascii="Times New Roman" w:hAnsi="Times New Roman" w:eastAsia="Arial" w:cs="Times New Roman"/>
                <w:b/>
                <w:bCs/>
                <w:color w:val="1F3864"/>
                <w:sz w:val="20"/>
                <w:szCs w:val="20"/>
              </w:rPr>
              <w:t>Repository</w:t>
            </w:r>
          </w:p>
        </w:tc>
        <w:tc>
          <w:tcPr>
            <w:tcW w:w="6026" w:type="dxa"/>
            <w:tcMar>
              <w:top w:w="90" w:type="dxa"/>
              <w:left w:w="140" w:type="dxa"/>
              <w:bottom w:w="90" w:type="dxa"/>
              <w:right w:w="140" w:type="dxa"/>
            </w:tcMar>
          </w:tcPr>
          <w:p w:rsidRPr="00DC0576" w:rsidR="008D246E" w:rsidP="00CC58B2" w:rsidRDefault="008D246E" w14:paraId="614FBBAB" w14:textId="77777777">
            <w:pPr>
              <w:spacing w:after="0" w:line="240" w:lineRule="auto"/>
              <w:rPr>
                <w:rFonts w:ascii="Times New Roman" w:hAnsi="Times New Roman" w:cs="Times New Roman"/>
              </w:rPr>
            </w:pPr>
            <w:r w:rsidRPr="00DC0576">
              <w:rPr>
                <w:rFonts w:ascii="Times New Roman" w:hAnsi="Times New Roman" w:eastAsia="Arial" w:cs="Times New Roman"/>
                <w:sz w:val="20"/>
                <w:szCs w:val="20"/>
              </w:rPr>
              <w:t>elec5623-group9-preconsultation (source code submitted with this report)</w:t>
            </w:r>
          </w:p>
        </w:tc>
      </w:tr>
    </w:tbl>
    <w:p w:rsidRPr="00DC0576" w:rsidR="008D246E" w:rsidP="008D246E" w:rsidRDefault="008D246E" w14:paraId="78C48BC9" w14:textId="77777777">
      <w:pPr>
        <w:spacing w:before="400" w:after="100"/>
        <w:jc w:val="center"/>
        <w:rPr>
          <w:rFonts w:ascii="Times New Roman" w:hAnsi="Times New Roman" w:cs="Times New Roman"/>
        </w:rPr>
      </w:pPr>
      <w:r>
        <w:rPr>
          <w:rFonts w:ascii="Times New Roman" w:hAnsi="Times New Roman" w:eastAsia="Arial" w:cs="Times New Roman"/>
          <w:b/>
          <w:bCs/>
          <w:color w:val="1F3864"/>
          <w:sz w:val="20"/>
          <w:szCs w:val="20"/>
        </w:rPr>
        <w:t>Project purpose</w:t>
      </w:r>
    </w:p>
    <w:p w:rsidRPr="00DC0576" w:rsidR="008D246E" w:rsidP="008D246E" w:rsidRDefault="008D246E" w14:paraId="27339083" w14:textId="77777777">
      <w:pPr>
        <w:spacing w:after="360"/>
        <w:ind w:left="600" w:right="600"/>
        <w:jc w:val="center"/>
        <w:rPr>
          <w:rFonts w:ascii="Times New Roman" w:hAnsi="Times New Roman" w:cs="Times New Roman"/>
        </w:rPr>
      </w:pPr>
      <w:r>
        <w:rPr>
          <w:rFonts w:ascii="Times New Roman" w:hAnsi="Times New Roman" w:eastAsia="Arial" w:cs="Times New Roman"/>
          <w:color w:val="262626"/>
          <w:sz w:val="21"/>
          <w:szCs w:val="21"/>
        </w:rPr>
        <w:t>PreConsult helps patients organise their concerns and share a reviewed, source-cited preparation record with a selected clinician.</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513"/>
        <w:gridCol w:w="4513"/>
      </w:tblGrid>
      <w:tr w:rsidRPr="00DC0576" w:rsidR="008D246E" w:rsidTr="00CC58B2" w14:paraId="2739859C" w14:textId="77777777">
        <w:tblPrEx>
          <w:tblCellMar>
            <w:top w:w="0" w:type="dxa"/>
            <w:bottom w:w="0" w:type="dxa"/>
          </w:tblCellMar>
        </w:tblPrEx>
        <w:trPr>
          <w:tblHeader/>
        </w:trPr>
        <w:tc>
          <w:tcPr>
            <w:tcW w:w="4513" w:type="dxa"/>
            <w:tcBorders>
              <w:top w:val="none" w:color="FFFFFF" w:sz="0" w:space="0"/>
              <w:left w:val="none" w:color="FFFFFF" w:sz="0" w:space="0"/>
              <w:bottom w:val="single" w:color="D0D7E2" w:sz="4" w:space="0"/>
              <w:right w:val="none" w:color="FFFFFF" w:sz="0" w:space="0"/>
            </w:tcBorders>
            <w:shd w:val="clear" w:color="auto" w:fill="1F3864"/>
            <w:tcMar>
              <w:top w:w="90" w:type="dxa"/>
              <w:left w:w="140" w:type="dxa"/>
              <w:bottom w:w="90" w:type="dxa"/>
              <w:right w:w="140" w:type="dxa"/>
            </w:tcMar>
          </w:tcPr>
          <w:p w:rsidRPr="00DC0576" w:rsidR="008D246E" w:rsidP="00CC58B2" w:rsidRDefault="008D246E" w14:paraId="003BBA0D" w14:textId="77777777">
            <w:pPr>
              <w:spacing w:after="0" w:line="240" w:lineRule="auto"/>
              <w:rPr>
                <w:rFonts w:ascii="Times New Roman" w:hAnsi="Times New Roman" w:cs="Times New Roman"/>
              </w:rPr>
            </w:pPr>
            <w:r w:rsidRPr="00DC0576">
              <w:rPr>
                <w:rFonts w:ascii="Times New Roman" w:hAnsi="Times New Roman" w:eastAsia="Arial" w:cs="Times New Roman"/>
                <w:b/>
                <w:bCs/>
                <w:color w:val="FFFFFF"/>
                <w:sz w:val="20"/>
                <w:szCs w:val="20"/>
              </w:rPr>
              <w:t>Team Member</w:t>
            </w:r>
          </w:p>
        </w:tc>
        <w:tc>
          <w:tcPr>
            <w:tcW w:w="4513" w:type="dxa"/>
            <w:tcBorders>
              <w:top w:val="none" w:color="FFFFFF" w:sz="0" w:space="0"/>
              <w:left w:val="none" w:color="FFFFFF" w:sz="0" w:space="0"/>
              <w:bottom w:val="single" w:color="D0D7E2" w:sz="4" w:space="0"/>
              <w:right w:val="none" w:color="FFFFFF" w:sz="0" w:space="0"/>
            </w:tcBorders>
            <w:shd w:val="clear" w:color="auto" w:fill="1F3864"/>
            <w:tcMar>
              <w:top w:w="90" w:type="dxa"/>
              <w:left w:w="140" w:type="dxa"/>
              <w:bottom w:w="90" w:type="dxa"/>
              <w:right w:w="140" w:type="dxa"/>
            </w:tcMar>
          </w:tcPr>
          <w:p w:rsidRPr="00DC0576" w:rsidR="008D246E" w:rsidP="00CC58B2" w:rsidRDefault="008D246E" w14:paraId="0E5D2AA4" w14:textId="77777777">
            <w:pPr>
              <w:spacing w:after="0" w:line="240" w:lineRule="auto"/>
              <w:rPr>
                <w:rFonts w:ascii="Times New Roman" w:hAnsi="Times New Roman" w:cs="Times New Roman"/>
              </w:rPr>
            </w:pPr>
            <w:r w:rsidRPr="00DC0576">
              <w:rPr>
                <w:rFonts w:ascii="Times New Roman" w:hAnsi="Times New Roman" w:eastAsia="Arial" w:cs="Times New Roman"/>
                <w:b/>
                <w:bCs/>
                <w:color w:val="FFFFFF"/>
                <w:sz w:val="20"/>
                <w:szCs w:val="20"/>
              </w:rPr>
              <w:t>Student ID</w:t>
            </w:r>
          </w:p>
        </w:tc>
      </w:tr>
      <w:tr w:rsidRPr="00DC0576" w:rsidR="008D246E" w:rsidTr="00CC58B2" w14:paraId="2D71F80D" w14:textId="77777777">
        <w:tblPrEx>
          <w:tblCellMar>
            <w:top w:w="0" w:type="dxa"/>
            <w:bottom w:w="0" w:type="dxa"/>
          </w:tblCellMar>
        </w:tblPrEx>
        <w:tc>
          <w:tcPr>
            <w:tcW w:w="4513" w:type="dxa"/>
            <w:tcBorders>
              <w:top w:val="none" w:color="FFFFFF" w:sz="0" w:space="0"/>
              <w:left w:val="none" w:color="FFFFFF" w:sz="0" w:space="0"/>
              <w:bottom w:val="single" w:color="D0D7E2" w:sz="4" w:space="0"/>
              <w:right w:val="none" w:color="FFFFFF" w:sz="0" w:space="0"/>
            </w:tcBorders>
            <w:tcMar>
              <w:top w:w="90" w:type="dxa"/>
              <w:left w:w="140" w:type="dxa"/>
              <w:bottom w:w="90" w:type="dxa"/>
              <w:right w:w="140" w:type="dxa"/>
            </w:tcMar>
          </w:tcPr>
          <w:p w:rsidRPr="00DC0576" w:rsidR="008D246E" w:rsidP="00CC58B2" w:rsidRDefault="008D246E" w14:paraId="64C78413" w14:textId="77777777">
            <w:pPr>
              <w:spacing w:after="0" w:line="240" w:lineRule="auto"/>
              <w:rPr>
                <w:rFonts w:ascii="Times New Roman" w:hAnsi="Times New Roman" w:cs="Times New Roman"/>
              </w:rPr>
            </w:pPr>
            <w:r w:rsidRPr="00DC0576">
              <w:rPr>
                <w:rFonts w:ascii="Times New Roman" w:hAnsi="Times New Roman" w:eastAsia="Arial" w:cs="Times New Roman"/>
                <w:sz w:val="20"/>
                <w:szCs w:val="20"/>
              </w:rPr>
              <w:t>Robin Kim</w:t>
            </w:r>
          </w:p>
        </w:tc>
        <w:tc>
          <w:tcPr>
            <w:tcW w:w="4513" w:type="dxa"/>
            <w:tcBorders>
              <w:top w:val="none" w:color="FFFFFF" w:sz="0" w:space="0"/>
              <w:left w:val="none" w:color="FFFFFF" w:sz="0" w:space="0"/>
              <w:bottom w:val="single" w:color="D0D7E2" w:sz="4" w:space="0"/>
              <w:right w:val="none" w:color="FFFFFF" w:sz="0" w:space="0"/>
            </w:tcBorders>
            <w:tcMar>
              <w:top w:w="90" w:type="dxa"/>
              <w:left w:w="140" w:type="dxa"/>
              <w:bottom w:w="90" w:type="dxa"/>
              <w:right w:w="140" w:type="dxa"/>
            </w:tcMar>
          </w:tcPr>
          <w:p w:rsidRPr="00DC0576" w:rsidR="008D246E" w:rsidP="00CC58B2" w:rsidRDefault="008D246E" w14:paraId="5522A71D" w14:textId="77777777">
            <w:pPr>
              <w:spacing w:after="0" w:line="240" w:lineRule="auto"/>
              <w:rPr>
                <w:rFonts w:ascii="Times New Roman" w:hAnsi="Times New Roman" w:cs="Times New Roman"/>
              </w:rPr>
            </w:pPr>
            <w:r w:rsidRPr="00DC0576">
              <w:rPr>
                <w:rFonts w:ascii="Times New Roman" w:hAnsi="Times New Roman" w:eastAsia="Arial" w:cs="Times New Roman"/>
                <w:sz w:val="20"/>
                <w:szCs w:val="20"/>
              </w:rPr>
              <w:t>520494747</w:t>
            </w:r>
          </w:p>
        </w:tc>
      </w:tr>
      <w:tr w:rsidRPr="00DC0576" w:rsidR="008D246E" w:rsidTr="00CC58B2" w14:paraId="3A9916A9" w14:textId="77777777">
        <w:tblPrEx>
          <w:tblCellMar>
            <w:top w:w="0" w:type="dxa"/>
            <w:bottom w:w="0" w:type="dxa"/>
          </w:tblCellMar>
        </w:tblPrEx>
        <w:tc>
          <w:tcPr>
            <w:tcW w:w="4513" w:type="dxa"/>
            <w:tcBorders>
              <w:top w:val="none" w:color="FFFFFF" w:sz="0" w:space="0"/>
              <w:left w:val="none" w:color="FFFFFF" w:sz="0" w:space="0"/>
              <w:bottom w:val="single" w:color="D0D7E2" w:sz="4" w:space="0"/>
              <w:right w:val="none" w:color="FFFFFF" w:sz="0" w:space="0"/>
            </w:tcBorders>
            <w:tcMar>
              <w:top w:w="90" w:type="dxa"/>
              <w:left w:w="140" w:type="dxa"/>
              <w:bottom w:w="90" w:type="dxa"/>
              <w:right w:w="140" w:type="dxa"/>
            </w:tcMar>
          </w:tcPr>
          <w:p w:rsidRPr="00DC0576" w:rsidR="008D246E" w:rsidP="00CC58B2" w:rsidRDefault="008D246E" w14:paraId="0845CF83" w14:textId="77777777">
            <w:pPr>
              <w:spacing w:after="0" w:line="240" w:lineRule="auto"/>
              <w:rPr>
                <w:rFonts w:ascii="Times New Roman" w:hAnsi="Times New Roman" w:cs="Times New Roman"/>
              </w:rPr>
            </w:pPr>
            <w:r w:rsidRPr="00DC0576">
              <w:rPr>
                <w:rFonts w:ascii="Times New Roman" w:hAnsi="Times New Roman" w:eastAsia="Arial" w:cs="Times New Roman"/>
                <w:sz w:val="20"/>
                <w:szCs w:val="20"/>
              </w:rPr>
              <w:t>Heeran Shin</w:t>
            </w:r>
          </w:p>
        </w:tc>
        <w:tc>
          <w:tcPr>
            <w:tcW w:w="4513" w:type="dxa"/>
            <w:tcBorders>
              <w:top w:val="none" w:color="FFFFFF" w:sz="0" w:space="0"/>
              <w:left w:val="none" w:color="FFFFFF" w:sz="0" w:space="0"/>
              <w:bottom w:val="single" w:color="D0D7E2" w:sz="4" w:space="0"/>
              <w:right w:val="none" w:color="FFFFFF" w:sz="0" w:space="0"/>
            </w:tcBorders>
            <w:tcMar>
              <w:top w:w="90" w:type="dxa"/>
              <w:left w:w="140" w:type="dxa"/>
              <w:bottom w:w="90" w:type="dxa"/>
              <w:right w:w="140" w:type="dxa"/>
            </w:tcMar>
          </w:tcPr>
          <w:p w:rsidRPr="00DC0576" w:rsidR="008D246E" w:rsidP="00CC58B2" w:rsidRDefault="008D246E" w14:paraId="79367E52" w14:textId="77777777">
            <w:pPr>
              <w:spacing w:after="0" w:line="240" w:lineRule="auto"/>
              <w:rPr>
                <w:rFonts w:ascii="Times New Roman" w:hAnsi="Times New Roman" w:cs="Times New Roman"/>
              </w:rPr>
            </w:pPr>
            <w:r w:rsidRPr="00DC0576">
              <w:rPr>
                <w:rFonts w:ascii="Times New Roman" w:hAnsi="Times New Roman" w:eastAsia="Arial" w:cs="Times New Roman"/>
                <w:sz w:val="20"/>
                <w:szCs w:val="20"/>
              </w:rPr>
              <w:t>550526315</w:t>
            </w:r>
          </w:p>
        </w:tc>
      </w:tr>
      <w:tr w:rsidRPr="00DC0576" w:rsidR="008D246E" w:rsidTr="00CC58B2" w14:paraId="4B8ADD9B" w14:textId="77777777">
        <w:tblPrEx>
          <w:tblCellMar>
            <w:top w:w="0" w:type="dxa"/>
            <w:bottom w:w="0" w:type="dxa"/>
          </w:tblCellMar>
        </w:tblPrEx>
        <w:tc>
          <w:tcPr>
            <w:tcW w:w="4513" w:type="dxa"/>
            <w:tcBorders>
              <w:top w:val="none" w:color="FFFFFF" w:sz="0" w:space="0"/>
              <w:left w:val="none" w:color="FFFFFF" w:sz="0" w:space="0"/>
              <w:bottom w:val="single" w:color="D0D7E2" w:sz="4" w:space="0"/>
              <w:right w:val="none" w:color="FFFFFF" w:sz="0" w:space="0"/>
            </w:tcBorders>
            <w:tcMar>
              <w:top w:w="90" w:type="dxa"/>
              <w:left w:w="140" w:type="dxa"/>
              <w:bottom w:w="90" w:type="dxa"/>
              <w:right w:w="140" w:type="dxa"/>
            </w:tcMar>
          </w:tcPr>
          <w:p w:rsidRPr="00DC0576" w:rsidR="008D246E" w:rsidP="00CC58B2" w:rsidRDefault="008D246E" w14:paraId="1E072970" w14:textId="77777777">
            <w:pPr>
              <w:spacing w:after="0" w:line="240" w:lineRule="auto"/>
              <w:rPr>
                <w:rFonts w:ascii="Times New Roman" w:hAnsi="Times New Roman" w:cs="Times New Roman"/>
              </w:rPr>
            </w:pPr>
            <w:proofErr w:type="spellStart"/>
            <w:r w:rsidRPr="00DC0576">
              <w:rPr>
                <w:rFonts w:ascii="Times New Roman" w:hAnsi="Times New Roman" w:eastAsia="Arial" w:cs="Times New Roman"/>
                <w:sz w:val="20"/>
                <w:szCs w:val="20"/>
              </w:rPr>
              <w:t>Haobo</w:t>
            </w:r>
            <w:proofErr w:type="spellEnd"/>
            <w:r w:rsidRPr="00DC0576">
              <w:rPr>
                <w:rFonts w:ascii="Times New Roman" w:hAnsi="Times New Roman" w:eastAsia="Arial" w:cs="Times New Roman"/>
                <w:sz w:val="20"/>
                <w:szCs w:val="20"/>
              </w:rPr>
              <w:t xml:space="preserve"> Wang</w:t>
            </w:r>
          </w:p>
        </w:tc>
        <w:tc>
          <w:tcPr>
            <w:tcW w:w="4513" w:type="dxa"/>
            <w:tcBorders>
              <w:top w:val="none" w:color="FFFFFF" w:sz="0" w:space="0"/>
              <w:left w:val="none" w:color="FFFFFF" w:sz="0" w:space="0"/>
              <w:bottom w:val="single" w:color="D0D7E2" w:sz="4" w:space="0"/>
              <w:right w:val="none" w:color="FFFFFF" w:sz="0" w:space="0"/>
            </w:tcBorders>
            <w:tcMar>
              <w:top w:w="90" w:type="dxa"/>
              <w:left w:w="140" w:type="dxa"/>
              <w:bottom w:w="90" w:type="dxa"/>
              <w:right w:w="140" w:type="dxa"/>
            </w:tcMar>
          </w:tcPr>
          <w:p w:rsidRPr="00DC0576" w:rsidR="008D246E" w:rsidP="00CC58B2" w:rsidRDefault="008D246E" w14:paraId="13CD7193" w14:textId="77777777">
            <w:pPr>
              <w:spacing w:after="0" w:line="240" w:lineRule="auto"/>
              <w:rPr>
                <w:rFonts w:ascii="Times New Roman" w:hAnsi="Times New Roman" w:cs="Times New Roman"/>
              </w:rPr>
            </w:pPr>
            <w:r w:rsidRPr="00DC0576">
              <w:rPr>
                <w:rFonts w:ascii="Times New Roman" w:hAnsi="Times New Roman" w:eastAsia="Arial" w:cs="Times New Roman"/>
                <w:sz w:val="20"/>
                <w:szCs w:val="20"/>
              </w:rPr>
              <w:t>550290472</w:t>
            </w:r>
          </w:p>
        </w:tc>
      </w:tr>
      <w:tr w:rsidRPr="00DC0576" w:rsidR="008D246E" w:rsidTr="00CC58B2" w14:paraId="42F0C5CC" w14:textId="77777777">
        <w:tblPrEx>
          <w:tblCellMar>
            <w:top w:w="0" w:type="dxa"/>
            <w:bottom w:w="0" w:type="dxa"/>
          </w:tblCellMar>
        </w:tblPrEx>
        <w:tc>
          <w:tcPr>
            <w:tcW w:w="4513" w:type="dxa"/>
            <w:tcBorders>
              <w:top w:val="none" w:color="FFFFFF" w:sz="0" w:space="0"/>
              <w:left w:val="none" w:color="FFFFFF" w:sz="0" w:space="0"/>
              <w:bottom w:val="single" w:color="D0D7E2" w:sz="4" w:space="0"/>
              <w:right w:val="none" w:color="FFFFFF" w:sz="0" w:space="0"/>
            </w:tcBorders>
            <w:tcMar>
              <w:top w:w="90" w:type="dxa"/>
              <w:left w:w="140" w:type="dxa"/>
              <w:bottom w:w="90" w:type="dxa"/>
              <w:right w:w="140" w:type="dxa"/>
            </w:tcMar>
          </w:tcPr>
          <w:p w:rsidRPr="00DC0576" w:rsidR="008D246E" w:rsidP="00CC58B2" w:rsidRDefault="008D246E" w14:paraId="29646EE8" w14:textId="77777777">
            <w:pPr>
              <w:spacing w:after="0" w:line="240" w:lineRule="auto"/>
              <w:rPr>
                <w:rFonts w:ascii="Times New Roman" w:hAnsi="Times New Roman" w:cs="Times New Roman"/>
              </w:rPr>
            </w:pPr>
            <w:proofErr w:type="spellStart"/>
            <w:r w:rsidRPr="00DC0576">
              <w:rPr>
                <w:rFonts w:ascii="Times New Roman" w:hAnsi="Times New Roman" w:eastAsia="Arial" w:cs="Times New Roman"/>
                <w:sz w:val="20"/>
                <w:szCs w:val="20"/>
              </w:rPr>
              <w:t>Hengyu</w:t>
            </w:r>
            <w:proofErr w:type="spellEnd"/>
            <w:r w:rsidRPr="00DC0576">
              <w:rPr>
                <w:rFonts w:ascii="Times New Roman" w:hAnsi="Times New Roman" w:eastAsia="Arial" w:cs="Times New Roman"/>
                <w:sz w:val="20"/>
                <w:szCs w:val="20"/>
              </w:rPr>
              <w:t xml:space="preserve"> Wang</w:t>
            </w:r>
          </w:p>
        </w:tc>
        <w:tc>
          <w:tcPr>
            <w:tcW w:w="4513" w:type="dxa"/>
            <w:tcBorders>
              <w:top w:val="none" w:color="FFFFFF" w:sz="0" w:space="0"/>
              <w:left w:val="none" w:color="FFFFFF" w:sz="0" w:space="0"/>
              <w:bottom w:val="single" w:color="D0D7E2" w:sz="4" w:space="0"/>
              <w:right w:val="none" w:color="FFFFFF" w:sz="0" w:space="0"/>
            </w:tcBorders>
            <w:tcMar>
              <w:top w:w="90" w:type="dxa"/>
              <w:left w:w="140" w:type="dxa"/>
              <w:bottom w:w="90" w:type="dxa"/>
              <w:right w:w="140" w:type="dxa"/>
            </w:tcMar>
          </w:tcPr>
          <w:p w:rsidRPr="00DC0576" w:rsidR="008D246E" w:rsidP="00CC58B2" w:rsidRDefault="008D246E" w14:paraId="0CFF8DD4" w14:textId="77777777">
            <w:pPr>
              <w:spacing w:after="0" w:line="240" w:lineRule="auto"/>
              <w:rPr>
                <w:rFonts w:ascii="Times New Roman" w:hAnsi="Times New Roman" w:cs="Times New Roman"/>
              </w:rPr>
            </w:pPr>
            <w:r w:rsidRPr="00DC0576">
              <w:rPr>
                <w:rFonts w:ascii="Times New Roman" w:hAnsi="Times New Roman" w:eastAsia="Arial" w:cs="Times New Roman"/>
                <w:sz w:val="20"/>
                <w:szCs w:val="20"/>
              </w:rPr>
              <w:t>550476641</w:t>
            </w:r>
          </w:p>
        </w:tc>
      </w:tr>
      <w:tr w:rsidRPr="00DC0576" w:rsidR="008D246E" w:rsidTr="00CC58B2" w14:paraId="602E0A02" w14:textId="77777777">
        <w:tblPrEx>
          <w:tblCellMar>
            <w:top w:w="0" w:type="dxa"/>
            <w:bottom w:w="0" w:type="dxa"/>
          </w:tblCellMar>
        </w:tblPrEx>
        <w:tc>
          <w:tcPr>
            <w:tcW w:w="4513" w:type="dxa"/>
            <w:tcBorders>
              <w:top w:val="none" w:color="FFFFFF" w:sz="0" w:space="0"/>
              <w:left w:val="none" w:color="FFFFFF" w:sz="0" w:space="0"/>
              <w:bottom w:val="single" w:color="D0D7E2" w:sz="4" w:space="0"/>
              <w:right w:val="none" w:color="FFFFFF" w:sz="0" w:space="0"/>
            </w:tcBorders>
            <w:tcMar>
              <w:top w:w="90" w:type="dxa"/>
              <w:left w:w="140" w:type="dxa"/>
              <w:bottom w:w="90" w:type="dxa"/>
              <w:right w:w="140" w:type="dxa"/>
            </w:tcMar>
          </w:tcPr>
          <w:p w:rsidRPr="00DC0576" w:rsidR="008D246E" w:rsidP="00CC58B2" w:rsidRDefault="008D246E" w14:paraId="29E0FD66" w14:textId="77777777">
            <w:pPr>
              <w:spacing w:after="0" w:line="240" w:lineRule="auto"/>
              <w:rPr>
                <w:rFonts w:ascii="Times New Roman" w:hAnsi="Times New Roman" w:cs="Times New Roman"/>
              </w:rPr>
            </w:pPr>
            <w:proofErr w:type="spellStart"/>
            <w:r w:rsidRPr="00DC0576">
              <w:rPr>
                <w:rFonts w:ascii="Times New Roman" w:hAnsi="Times New Roman" w:eastAsia="Arial" w:cs="Times New Roman"/>
                <w:sz w:val="20"/>
                <w:szCs w:val="20"/>
              </w:rPr>
              <w:t>Guopeng</w:t>
            </w:r>
            <w:proofErr w:type="spellEnd"/>
            <w:r w:rsidRPr="00DC0576">
              <w:rPr>
                <w:rFonts w:ascii="Times New Roman" w:hAnsi="Times New Roman" w:eastAsia="Arial" w:cs="Times New Roman"/>
                <w:sz w:val="20"/>
                <w:szCs w:val="20"/>
              </w:rPr>
              <w:t xml:space="preserve"> Tan</w:t>
            </w:r>
          </w:p>
        </w:tc>
        <w:tc>
          <w:tcPr>
            <w:tcW w:w="4513" w:type="dxa"/>
            <w:tcBorders>
              <w:top w:val="none" w:color="FFFFFF" w:sz="0" w:space="0"/>
              <w:left w:val="none" w:color="FFFFFF" w:sz="0" w:space="0"/>
              <w:bottom w:val="single" w:color="D0D7E2" w:sz="4" w:space="0"/>
              <w:right w:val="none" w:color="FFFFFF" w:sz="0" w:space="0"/>
            </w:tcBorders>
            <w:tcMar>
              <w:top w:w="90" w:type="dxa"/>
              <w:left w:w="140" w:type="dxa"/>
              <w:bottom w:w="90" w:type="dxa"/>
              <w:right w:w="140" w:type="dxa"/>
            </w:tcMar>
          </w:tcPr>
          <w:p w:rsidRPr="00DC0576" w:rsidR="008D246E" w:rsidP="00CC58B2" w:rsidRDefault="008D246E" w14:paraId="3766072D" w14:textId="77777777">
            <w:pPr>
              <w:spacing w:after="0" w:line="240" w:lineRule="auto"/>
              <w:rPr>
                <w:rFonts w:ascii="Times New Roman" w:hAnsi="Times New Roman" w:cs="Times New Roman"/>
              </w:rPr>
            </w:pPr>
            <w:r w:rsidRPr="00DC0576">
              <w:rPr>
                <w:rFonts w:ascii="Times New Roman" w:hAnsi="Times New Roman" w:eastAsia="Arial" w:cs="Times New Roman"/>
                <w:sz w:val="20"/>
                <w:szCs w:val="20"/>
              </w:rPr>
              <w:t>560226939</w:t>
            </w:r>
          </w:p>
        </w:tc>
      </w:tr>
    </w:tbl>
    <w:p w:rsidRPr="00DC0576" w:rsidR="008D246E" w:rsidP="008D246E" w:rsidRDefault="008D246E" w14:paraId="6142E590" w14:textId="77777777">
      <w:pPr>
        <w:rPr>
          <w:rFonts w:ascii="Times New Roman" w:hAnsi="Times New Roman" w:cs="Times New Roman"/>
        </w:rPr>
      </w:pPr>
    </w:p>
    <w:p>
      <w:pPr>
        <w:pStyle w:val="Heading1"/>
        <w:pageBreakBefore/>
        <w:widowControl/>
        <w:jc w:val="left"/>
      </w:pPr>
      <w:r>
        <w:rPr>
          <w:rFonts w:ascii="Times New Roman" w:hAnsi="Times New Roman" w:eastAsia="Times New Roman"/>
          <w:b/>
          <w:i w:val="0"/>
          <w:color w:val="1F3864"/>
          <w:sz w:val="30"/>
        </w:rPr>
        <w:t>1 Project summary and team</w:t>
      </w:r>
    </w:p>
    <w:p>
      <w:pPr>
        <w:widowControl/>
        <w:jc w:val="both"/>
      </w:pPr>
      <w:r>
        <w:rPr>
          <w:rFonts w:ascii="Times New Roman" w:hAnsi="Times New Roman" w:eastAsia="Times New Roman"/>
          <w:b w:val="0"/>
          <w:i w:val="0"/>
          <w:color w:val="000000"/>
          <w:sz w:val="22"/>
        </w:rPr>
        <w:t>PreConsult is a Track A AI Agent Product for preparing a planned medical consultation. Group 9 comprises Robin Kim, Heeran Shin, Haobo Wang, Hengyu Wang and Guopeng Tan. We built an authenticated patient and clinician application that collects a patient’s concerns, structures their answers, asks bounded follow-up questions and produces a source-cited record for patient-approved sharing. The final interface provides 30 symptom workflows, a custom conversation entry, one-question wizard steps, editable voice transcription and five patient languages.</w:t>
      </w:r>
    </w:p>
    <w:p>
      <w:pPr>
        <w:widowControl/>
        <w:jc w:val="both"/>
      </w:pPr>
      <w:r>
        <w:rPr>
          <w:rFonts w:ascii="Times New Roman" w:hAnsi="Times New Roman" w:eastAsia="Times New Roman"/>
          <w:b w:val="0"/>
          <w:i w:val="0"/>
          <w:color w:val="000000"/>
          <w:sz w:val="22"/>
        </w:rPr>
        <w:t>The principal result is a working preparation-to-handoff workflow with reproducible engineering evidence: 605 backend tests, 100 frontend tests and 34 browser acceptance checks passed on integration commit 91a8543. A controlled validator comparison rejected ten targeted faults that JSON schema alone accepted, but also exposed an unsupported paraphrase that passed both checks. The system therefore demonstrates workflow and validation behaviour, not established clinical accuracy. This report describes the implementation and evidence available on 21 October 2026 [1].</w:t>
      </w:r>
    </w:p>
    <w:p>
      <w:pPr>
        <w:pStyle w:val="Heading1"/>
        <w:widowControl/>
        <w:jc w:val="left"/>
      </w:pPr>
      <w:r>
        <w:rPr>
          <w:rFonts w:ascii="Times New Roman" w:hAnsi="Times New Roman" w:eastAsia="Times New Roman"/>
          <w:b/>
          <w:i w:val="0"/>
          <w:color w:val="1F3864"/>
          <w:sz w:val="30"/>
        </w:rPr>
        <w:t>2 Problem definition</w:t>
      </w:r>
    </w:p>
    <w:p>
      <w:pPr>
        <w:pStyle w:val="Heading2"/>
        <w:widowControl/>
        <w:jc w:val="left"/>
      </w:pPr>
      <w:r>
        <w:rPr>
          <w:rFonts w:ascii="Times New Roman" w:hAnsi="Times New Roman" w:eastAsia="Times New Roman"/>
          <w:b/>
          <w:i w:val="0"/>
          <w:color w:val="1F3864"/>
          <w:sz w:val="25"/>
        </w:rPr>
        <w:t>2.1 Users and intended value</w:t>
      </w:r>
    </w:p>
    <w:p>
      <w:pPr>
        <w:widowControl/>
        <w:jc w:val="both"/>
      </w:pPr>
      <w:r>
        <w:rPr>
          <w:rFonts w:ascii="Times New Roman" w:hAnsi="Times New Roman" w:eastAsia="Times New Roman"/>
          <w:b w:val="0"/>
          <w:i w:val="0"/>
          <w:color w:val="000000"/>
          <w:sz w:val="22"/>
        </w:rPr>
        <w:t>Patients preparing for a short consultation may struggle to organise symptom timing, medicines, background information and questions. A clinician then needs a readable account that preserves uncertainty and indicates where each statement came from. Our design addresses this preparation and communication task. Patients are the primary users; clinicians receive the information a patient chooses to share. The teaching team evaluates a runnable engineering prototype, rather than a deployed clinical service.</w:t>
      </w:r>
    </w:p>
    <w:p>
      <w:pPr>
        <w:widowControl/>
        <w:jc w:val="both"/>
      </w:pPr>
      <w:r>
        <w:rPr>
          <w:rFonts w:ascii="Times New Roman" w:hAnsi="Times New Roman" w:eastAsia="Times New Roman"/>
          <w:b w:val="0"/>
          <w:i w:val="0"/>
          <w:color w:val="000000"/>
          <w:sz w:val="22"/>
        </w:rPr>
        <w:t>GenAI is useful because patients describe the same concern in different words, languages and levels of detail. Extraction can map a narrative onto several named fields; planning can phrase relevant clarifications; synthesis can present the same evidence for patient and clinician readers. Ordinary application code retains authority over account ownership, state transitions, eligible targets, validation and sharing. A fixed questionnaire alone cannot provide this language flexibility, while an unconstrained chatbot would make the collected information and stopping behaviour harder to audit.</w:t>
      </w:r>
    </w:p>
    <w:p>
      <w:pPr>
        <w:pStyle w:val="Heading2"/>
        <w:widowControl/>
        <w:jc w:val="left"/>
      </w:pPr>
      <w:r>
        <w:rPr>
          <w:rFonts w:ascii="Times New Roman" w:hAnsi="Times New Roman" w:eastAsia="Times New Roman"/>
          <w:b/>
          <w:i w:val="0"/>
          <w:color w:val="1F3864"/>
          <w:sz w:val="25"/>
        </w:rPr>
        <w:t>2.2 Scope and success criteria</w:t>
      </w:r>
    </w:p>
    <w:p>
      <w:pPr>
        <w:widowControl/>
        <w:jc w:val="both"/>
      </w:pPr>
      <w:r>
        <w:rPr>
          <w:rFonts w:ascii="Times New Roman" w:hAnsi="Times New Roman" w:eastAsia="Times New Roman"/>
          <w:b w:val="0"/>
          <w:i w:val="0"/>
          <w:color w:val="000000"/>
          <w:sz w:val="22"/>
        </w:rPr>
        <w:t>The core scope remains preparation for a planned appointment, including unknown answers, declined questions, corrections and incomplete records. The optional preliminary assessment extends the original factual-summary scope by suggesting possible diagnoses and care guidance. It is separated from the factual record and is not clinically validated. Table 1 connects the central requirements to evidence; Appendix B gives the fuller proposal mapping [2].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1699"/>
        <w:gridCol w:w="5112"/>
        <w:gridCol w:w="2203"/>
      </w:tblGrid>
      <w:tr>
        <w:trPr>
          <w:cantSplit/>
          <w:tblHeader/>
        </w:trPr>
        <w:tc>
          <w:tcPr>
            <w:tcW w:type="dxa" w:w="1699"/>
            <w:vAlign w:val="center"/>
            <w:shd w:fill="D9E2F3"/>
          </w:tcPr>
          <w:p>
            <w:pPr>
              <w:spacing w:after="0" w:line="240" w:lineRule="auto"/>
              <w:jc w:val="left"/>
            </w:pPr>
            <w:r>
              <w:rPr>
                <w:rFonts w:ascii="Times New Roman" w:hAnsi="Times New Roman" w:eastAsia="Times New Roman"/>
                <w:b/>
                <w:i w:val="0"/>
                <w:color w:val="000000"/>
                <w:sz w:val="20"/>
              </w:rPr>
              <w:t>Requirement</w:t>
            </w:r>
          </w:p>
        </w:tc>
        <w:tc>
          <w:tcPr>
            <w:tcW w:type="dxa" w:w="5112"/>
            <w:vAlign w:val="center"/>
            <w:shd w:fill="D9E2F3"/>
          </w:tcPr>
          <w:p>
            <w:pPr>
              <w:spacing w:after="0" w:line="240" w:lineRule="auto"/>
              <w:jc w:val="left"/>
            </w:pPr>
            <w:r>
              <w:rPr>
                <w:rFonts w:ascii="Times New Roman" w:hAnsi="Times New Roman" w:eastAsia="Times New Roman"/>
                <w:b/>
                <w:i w:val="0"/>
                <w:color w:val="000000"/>
                <w:sz w:val="20"/>
              </w:rPr>
              <w:t>Observable success criterion</w:t>
            </w:r>
          </w:p>
        </w:tc>
        <w:tc>
          <w:tcPr>
            <w:tcW w:type="dxa" w:w="2203"/>
            <w:vAlign w:val="center"/>
            <w:shd w:fill="D9E2F3"/>
          </w:tcPr>
          <w:p>
            <w:pPr>
              <w:spacing w:after="0" w:line="240" w:lineRule="auto"/>
              <w:jc w:val="left"/>
            </w:pPr>
            <w:r>
              <w:rPr>
                <w:rFonts w:ascii="Times New Roman" w:hAnsi="Times New Roman" w:eastAsia="Times New Roman"/>
                <w:b/>
                <w:i w:val="0"/>
                <w:color w:val="000000"/>
                <w:sz w:val="20"/>
              </w:rPr>
              <w:t>Evidence</w:t>
            </w:r>
          </w:p>
        </w:tc>
      </w:tr>
      <w:tr>
        <w:trPr>
          <w:cantSplit/>
        </w:trPr>
        <w:tc>
          <w:tcPr>
            <w:tcW w:type="dxa" w:w="1699"/>
            <w:vAlign w:val="center"/>
          </w:tcPr>
          <w:p>
            <w:pPr>
              <w:spacing w:after="0" w:line="240" w:lineRule="auto"/>
              <w:jc w:val="left"/>
            </w:pPr>
            <w:r>
              <w:rPr>
                <w:rFonts w:ascii="Times New Roman" w:hAnsi="Times New Roman" w:eastAsia="Times New Roman"/>
                <w:b w:val="0"/>
                <w:i w:val="0"/>
                <w:color w:val="000000"/>
                <w:sz w:val="20"/>
              </w:rPr>
              <w:t>Faithful information</w:t>
            </w:r>
          </w:p>
        </w:tc>
        <w:tc>
          <w:tcPr>
            <w:tcW w:type="dxa" w:w="5112"/>
            <w:vAlign w:val="center"/>
          </w:tcPr>
          <w:p>
            <w:pPr>
              <w:spacing w:after="0" w:line="240" w:lineRule="auto"/>
              <w:jc w:val="left"/>
            </w:pPr>
            <w:r>
              <w:rPr>
                <w:rFonts w:ascii="Times New Roman" w:hAnsi="Times New Roman" w:eastAsia="Times New Roman"/>
                <w:b w:val="0"/>
                <w:i w:val="0"/>
                <w:color w:val="000000"/>
                <w:sz w:val="20"/>
              </w:rPr>
              <w:t>Current values retain evidence; rejected and uncertain answers keep their meaning.</w:t>
            </w:r>
          </w:p>
        </w:tc>
        <w:tc>
          <w:tcPr>
            <w:tcW w:type="dxa" w:w="2203"/>
            <w:vAlign w:val="center"/>
          </w:tcPr>
          <w:p>
            <w:pPr>
              <w:spacing w:after="0" w:line="240" w:lineRule="auto"/>
              <w:jc w:val="left"/>
            </w:pPr>
            <w:r>
              <w:rPr>
                <w:rFonts w:ascii="Times New Roman" w:hAnsi="Times New Roman" w:eastAsia="Times New Roman"/>
                <w:b w:val="0"/>
                <w:i w:val="0"/>
                <w:color w:val="000000"/>
                <w:sz w:val="20"/>
              </w:rPr>
              <w:t>State tests and guard audit</w:t>
            </w:r>
          </w:p>
        </w:tc>
      </w:tr>
      <w:tr>
        <w:trPr>
          <w:cantSplit/>
        </w:trPr>
        <w:tc>
          <w:tcPr>
            <w:tcW w:type="dxa" w:w="1699"/>
            <w:vAlign w:val="center"/>
          </w:tcPr>
          <w:p>
            <w:pPr>
              <w:spacing w:after="0" w:line="240" w:lineRule="auto"/>
              <w:jc w:val="left"/>
            </w:pPr>
            <w:r>
              <w:rPr>
                <w:rFonts w:ascii="Times New Roman" w:hAnsi="Times New Roman" w:eastAsia="Times New Roman"/>
                <w:b w:val="0"/>
                <w:i w:val="0"/>
                <w:color w:val="000000"/>
                <w:sz w:val="20"/>
              </w:rPr>
              <w:t>Bounded interaction</w:t>
            </w:r>
          </w:p>
        </w:tc>
        <w:tc>
          <w:tcPr>
            <w:tcW w:type="dxa" w:w="5112"/>
            <w:vAlign w:val="center"/>
          </w:tcPr>
          <w:p>
            <w:pPr>
              <w:spacing w:after="0" w:line="240" w:lineRule="auto"/>
              <w:jc w:val="left"/>
            </w:pPr>
            <w:r>
              <w:rPr>
                <w:rFonts w:ascii="Times New Roman" w:hAnsi="Times New Roman" w:eastAsia="Times New Roman"/>
                <w:b w:val="0"/>
                <w:i w:val="0"/>
                <w:color w:val="000000"/>
                <w:sz w:val="20"/>
              </w:rPr>
              <w:t>At most five questions in the normal AI batch; drafts survive navigation.</w:t>
            </w:r>
          </w:p>
        </w:tc>
        <w:tc>
          <w:tcPr>
            <w:tcW w:type="dxa" w:w="2203"/>
            <w:vAlign w:val="center"/>
          </w:tcPr>
          <w:p>
            <w:pPr>
              <w:spacing w:after="0" w:line="240" w:lineRule="auto"/>
              <w:jc w:val="left"/>
            </w:pPr>
            <w:r>
              <w:rPr>
                <w:rFonts w:ascii="Times New Roman" w:hAnsi="Times New Roman" w:eastAsia="Times New Roman"/>
                <w:b w:val="0"/>
                <w:i w:val="0"/>
                <w:color w:val="000000"/>
                <w:sz w:val="20"/>
              </w:rPr>
              <w:t>Pipeline and browser tests</w:t>
            </w:r>
          </w:p>
        </w:tc>
      </w:tr>
      <w:tr>
        <w:trPr>
          <w:cantSplit/>
        </w:trPr>
        <w:tc>
          <w:tcPr>
            <w:tcW w:type="dxa" w:w="1699"/>
            <w:vAlign w:val="center"/>
          </w:tcPr>
          <w:p>
            <w:pPr>
              <w:spacing w:after="0" w:line="240" w:lineRule="auto"/>
              <w:jc w:val="left"/>
            </w:pPr>
            <w:r>
              <w:rPr>
                <w:rFonts w:ascii="Times New Roman" w:hAnsi="Times New Roman" w:eastAsia="Times New Roman"/>
                <w:b w:val="0"/>
                <w:i w:val="0"/>
                <w:color w:val="000000"/>
                <w:sz w:val="20"/>
              </w:rPr>
              <w:t>Patient control</w:t>
            </w:r>
          </w:p>
        </w:tc>
        <w:tc>
          <w:tcPr>
            <w:tcW w:type="dxa" w:w="5112"/>
            <w:vAlign w:val="center"/>
          </w:tcPr>
          <w:p>
            <w:pPr>
              <w:spacing w:after="0" w:line="240" w:lineRule="auto"/>
              <w:jc w:val="left"/>
            </w:pPr>
            <w:r>
              <w:rPr>
                <w:rFonts w:ascii="Times New Roman" w:hAnsi="Times New Roman" w:eastAsia="Times New Roman"/>
                <w:b w:val="0"/>
                <w:i w:val="0"/>
                <w:color w:val="000000"/>
                <w:sz w:val="20"/>
              </w:rPr>
              <w:t>Only the selected doctor can read an approved version; withdrawal removes access.</w:t>
            </w:r>
          </w:p>
        </w:tc>
        <w:tc>
          <w:tcPr>
            <w:tcW w:type="dxa" w:w="2203"/>
            <w:vAlign w:val="center"/>
          </w:tcPr>
          <w:p>
            <w:pPr>
              <w:spacing w:after="0" w:line="240" w:lineRule="auto"/>
              <w:jc w:val="left"/>
            </w:pPr>
            <w:r>
              <w:rPr>
                <w:rFonts w:ascii="Times New Roman" w:hAnsi="Times New Roman" w:eastAsia="Times New Roman"/>
                <w:b w:val="0"/>
                <w:i w:val="0"/>
                <w:color w:val="000000"/>
                <w:sz w:val="20"/>
              </w:rPr>
              <w:t>API authorisation tests</w:t>
            </w:r>
          </w:p>
        </w:tc>
      </w:tr>
      <w:tr>
        <w:trPr>
          <w:cantSplit/>
        </w:trPr>
        <w:tc>
          <w:tcPr>
            <w:tcW w:type="dxa" w:w="1699"/>
            <w:vAlign w:val="center"/>
          </w:tcPr>
          <w:p>
            <w:pPr>
              <w:spacing w:after="0" w:line="240" w:lineRule="auto"/>
              <w:jc w:val="left"/>
            </w:pPr>
            <w:r>
              <w:rPr>
                <w:rFonts w:ascii="Times New Roman" w:hAnsi="Times New Roman" w:eastAsia="Times New Roman"/>
                <w:b w:val="0"/>
                <w:i w:val="0"/>
                <w:color w:val="000000"/>
                <w:sz w:val="20"/>
              </w:rPr>
              <w:t>Usable preparation</w:t>
            </w:r>
          </w:p>
        </w:tc>
        <w:tc>
          <w:tcPr>
            <w:tcW w:type="dxa" w:w="5112"/>
            <w:vAlign w:val="center"/>
          </w:tcPr>
          <w:p>
            <w:pPr>
              <w:spacing w:after="0" w:line="240" w:lineRule="auto"/>
              <w:jc w:val="left"/>
            </w:pPr>
            <w:r>
              <w:rPr>
                <w:rFonts w:ascii="Times New Roman" w:hAnsi="Times New Roman" w:eastAsia="Times New Roman"/>
                <w:b w:val="0"/>
                <w:i w:val="0"/>
                <w:color w:val="000000"/>
                <w:sz w:val="20"/>
              </w:rPr>
              <w:t>One question per step, editable voice text, reusable background and five locales.</w:t>
            </w:r>
          </w:p>
        </w:tc>
        <w:tc>
          <w:tcPr>
            <w:tcW w:type="dxa" w:w="2203"/>
            <w:vAlign w:val="center"/>
          </w:tcPr>
          <w:p>
            <w:pPr>
              <w:spacing w:after="0" w:line="240" w:lineRule="auto"/>
              <w:jc w:val="left"/>
            </w:pPr>
            <w:r>
              <w:rPr>
                <w:rFonts w:ascii="Times New Roman" w:hAnsi="Times New Roman" w:eastAsia="Times New Roman"/>
                <w:b w:val="0"/>
                <w:i w:val="0"/>
                <w:color w:val="000000"/>
                <w:sz w:val="20"/>
              </w:rPr>
              <w:t>Frontend and UI checks</w:t>
            </w:r>
          </w:p>
        </w:tc>
      </w:tr>
      <w:tr>
        <w:trPr>
          <w:cantSplit/>
        </w:trPr>
        <w:tc>
          <w:tcPr>
            <w:tcW w:type="dxa" w:w="1699"/>
            <w:vAlign w:val="center"/>
          </w:tcPr>
          <w:p>
            <w:pPr>
              <w:spacing w:after="0" w:line="240" w:lineRule="auto"/>
              <w:jc w:val="left"/>
            </w:pPr>
            <w:r>
              <w:rPr>
                <w:rFonts w:ascii="Times New Roman" w:hAnsi="Times New Roman" w:eastAsia="Times New Roman"/>
                <w:b w:val="0"/>
                <w:i w:val="0"/>
                <w:color w:val="000000"/>
                <w:sz w:val="20"/>
              </w:rPr>
              <w:t>Efficient model use</w:t>
            </w:r>
          </w:p>
        </w:tc>
        <w:tc>
          <w:tcPr>
            <w:tcW w:type="dxa" w:w="5112"/>
            <w:vAlign w:val="center"/>
          </w:tcPr>
          <w:p>
            <w:pPr>
              <w:spacing w:after="0" w:line="240" w:lineRule="auto"/>
              <w:jc w:val="left"/>
            </w:pPr>
            <w:r>
              <w:rPr>
                <w:rFonts w:ascii="Times New Roman" w:hAnsi="Times New Roman" w:eastAsia="Times New Roman"/>
                <w:b w:val="0"/>
                <w:i w:val="0"/>
                <w:color w:val="000000"/>
                <w:sz w:val="20"/>
              </w:rPr>
              <w:t>Measure response quality, latency and token cost on a frozen evaluation set.</w:t>
            </w:r>
          </w:p>
        </w:tc>
        <w:tc>
          <w:tcPr>
            <w:tcW w:type="dxa" w:w="2203"/>
            <w:vAlign w:val="center"/>
          </w:tcPr>
          <w:p>
            <w:pPr>
              <w:spacing w:after="0" w:line="240" w:lineRule="auto"/>
              <w:jc w:val="left"/>
            </w:pPr>
            <w:r>
              <w:rPr>
                <w:rFonts w:ascii="Times New Roman" w:hAnsi="Times New Roman" w:eastAsia="Times New Roman"/>
                <w:b w:val="0"/>
                <w:i w:val="0"/>
                <w:color w:val="000000"/>
                <w:sz w:val="20"/>
              </w:rPr>
              <w:t>Not yet established</w:t>
            </w:r>
          </w:p>
        </w:tc>
      </w:tr>
    </w:tbl>
    <w:p>
      <w:pPr>
        <w:widowControl/>
        <w:spacing w:after="140"/>
        <w:jc w:val="left"/>
      </w:pPr>
      <w:r>
        <w:rPr>
          <w:rFonts w:ascii="Times New Roman" w:hAnsi="Times New Roman" w:eastAsia="Times New Roman"/>
          <w:b w:val="0"/>
          <w:i/>
          <w:color w:val="000000"/>
          <w:sz w:val="20"/>
        </w:rPr>
        <w:t>Table 1. Success criteria and the evidence actually available. Passing software checks does not establish clinical benefit.</w:t>
      </w:r>
    </w:p>
    <w:p>
      <w:pPr>
        <w:pStyle w:val="Heading1"/>
        <w:pageBreakBefore/>
        <w:widowControl/>
        <w:jc w:val="left"/>
      </w:pPr>
      <w:r>
        <w:rPr>
          <w:rFonts w:ascii="Times New Roman" w:hAnsi="Times New Roman" w:eastAsia="Times New Roman"/>
          <w:b/>
          <w:i w:val="0"/>
          <w:color w:val="1F3864"/>
          <w:sz w:val="30"/>
        </w:rPr>
        <w:t>3 Related work and novelty</w:t>
      </w:r>
    </w:p>
    <w:p>
      <w:pPr>
        <w:widowControl/>
        <w:jc w:val="both"/>
      </w:pPr>
      <w:r>
        <w:rPr>
          <w:rFonts w:ascii="Times New Roman" w:hAnsi="Times New Roman" w:eastAsia="Times New Roman"/>
          <w:b w:val="0"/>
          <w:i w:val="0"/>
          <w:color w:val="000000"/>
          <w:sz w:val="22"/>
        </w:rPr>
        <w:t>Pre-consultation data collection is an established application. Infermedica Intake combines fixed demographic and medical-history sections with an adaptive symptom interview [3]. Its Engine API distinguishes present, absent and unknown evidence and supplies a stopping recommendation [4]. Ada asks follow-up questions using symptoms and health-profile information, then produces possible causes [5]. PreConsult does not claim novelty for symptom selection, adaptive questions, reusable background information or an AI-generated report.</w:t>
      </w:r>
    </w:p>
    <w:p>
      <w:pPr>
        <w:widowControl/>
        <w:jc w:val="both"/>
      </w:pPr>
      <w:r>
        <w:rPr>
          <w:rFonts w:ascii="Times New Roman" w:hAnsi="Times New Roman" w:eastAsia="Times New Roman"/>
          <w:b w:val="0"/>
          <w:i w:val="0"/>
          <w:color w:val="000000"/>
          <w:sz w:val="22"/>
        </w:rPr>
        <w:t>Research illustrates the evaluation standard needed for stronger claims. AMIE uses simulated self-play and was evaluated in 159 case scenarios with patient actors and 20 primary-care physicians [6]. Thawinwisan et al. compared four prompt/reasoning configurations with a rule-based baseline across 66 simulated cases, using physician-rated information coverage [7]. Those results cannot be transferred to PreConsult. Our coverage counters measure completion of our own workflow fields; they are not clinical information-coverage scores.</w:t>
      </w:r>
    </w:p>
    <w:p>
      <w:pPr>
        <w:widowControl/>
        <w:jc w:val="both"/>
      </w:pPr>
      <w:r>
        <w:rPr>
          <w:rFonts w:ascii="Times New Roman" w:hAnsi="Times New Roman" w:eastAsia="Times New Roman"/>
          <w:b w:val="0"/>
          <w:i w:val="0"/>
          <w:color w:val="000000"/>
          <w:sz w:val="22"/>
        </w:rPr>
        <w:t>Schema-guided dialogue supplies explicit intents and slots for task-oriented conversation [8]. PreConsult similarly uses workflow fields and persisted state to constrain extraction and follow-up planning. Strict JSON output gives a machine-readable contract, but it does not establish factual accuracy [9]. The backend therefore adds source-span, target, ownership, numeric and uncertainty checks. Section 7 tests the incremental value and limits of those checks.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1584"/>
        <w:gridCol w:w="3528"/>
        <w:gridCol w:w="3902"/>
      </w:tblGrid>
      <w:tr>
        <w:trPr>
          <w:cantSplit/>
          <w:tblHeader/>
        </w:trPr>
        <w:tc>
          <w:tcPr>
            <w:tcW w:type="dxa" w:w="1584"/>
            <w:vAlign w:val="center"/>
            <w:shd w:fill="D9E2F3"/>
          </w:tcPr>
          <w:p>
            <w:pPr>
              <w:spacing w:after="0" w:line="240" w:lineRule="auto"/>
              <w:jc w:val="left"/>
            </w:pPr>
            <w:r>
              <w:rPr>
                <w:rFonts w:ascii="Times New Roman" w:hAnsi="Times New Roman" w:eastAsia="Times New Roman"/>
                <w:b/>
                <w:i w:val="0"/>
                <w:color w:val="000000"/>
                <w:sz w:val="20"/>
              </w:rPr>
              <w:t>System</w:t>
            </w:r>
          </w:p>
        </w:tc>
        <w:tc>
          <w:tcPr>
            <w:tcW w:type="dxa" w:w="3528"/>
            <w:vAlign w:val="center"/>
            <w:shd w:fill="D9E2F3"/>
          </w:tcPr>
          <w:p>
            <w:pPr>
              <w:spacing w:after="0" w:line="240" w:lineRule="auto"/>
              <w:jc w:val="left"/>
            </w:pPr>
            <w:r>
              <w:rPr>
                <w:rFonts w:ascii="Times New Roman" w:hAnsi="Times New Roman" w:eastAsia="Times New Roman"/>
                <w:b/>
                <w:i w:val="0"/>
                <w:color w:val="000000"/>
                <w:sz w:val="20"/>
              </w:rPr>
              <w:t>Dialogue and output</w:t>
            </w:r>
          </w:p>
        </w:tc>
        <w:tc>
          <w:tcPr>
            <w:tcW w:type="dxa" w:w="3902"/>
            <w:vAlign w:val="center"/>
            <w:shd w:fill="D9E2F3"/>
          </w:tcPr>
          <w:p>
            <w:pPr>
              <w:spacing w:after="0" w:line="240" w:lineRule="auto"/>
              <w:jc w:val="left"/>
            </w:pPr>
            <w:r>
              <w:rPr>
                <w:rFonts w:ascii="Times New Roman" w:hAnsi="Times New Roman" w:eastAsia="Times New Roman"/>
                <w:b/>
                <w:i w:val="0"/>
                <w:color w:val="000000"/>
                <w:sz w:val="20"/>
              </w:rPr>
              <w:t>Position relative to PreConsult</w:t>
            </w:r>
          </w:p>
        </w:tc>
      </w:tr>
      <w:tr>
        <w:trPr>
          <w:cantSplit/>
        </w:trPr>
        <w:tc>
          <w:tcPr>
            <w:tcW w:type="dxa" w:w="1584"/>
            <w:vAlign w:val="center"/>
          </w:tcPr>
          <w:p>
            <w:pPr>
              <w:spacing w:after="0" w:line="240" w:lineRule="auto"/>
              <w:jc w:val="left"/>
            </w:pPr>
            <w:r>
              <w:rPr>
                <w:rFonts w:ascii="Times New Roman" w:hAnsi="Times New Roman" w:eastAsia="Times New Roman"/>
                <w:b w:val="0"/>
                <w:i w:val="0"/>
                <w:color w:val="000000"/>
                <w:sz w:val="20"/>
              </w:rPr>
              <w:t>Infermedica [3, 4]</w:t>
            </w:r>
          </w:p>
        </w:tc>
        <w:tc>
          <w:tcPr>
            <w:tcW w:type="dxa" w:w="3528"/>
            <w:vAlign w:val="center"/>
          </w:tcPr>
          <w:p>
            <w:pPr>
              <w:spacing w:after="0" w:line="240" w:lineRule="auto"/>
              <w:jc w:val="left"/>
            </w:pPr>
            <w:r>
              <w:rPr>
                <w:rFonts w:ascii="Times New Roman" w:hAnsi="Times New Roman" w:eastAsia="Times New Roman"/>
                <w:b w:val="0"/>
                <w:i w:val="0"/>
                <w:color w:val="000000"/>
                <w:sz w:val="20"/>
              </w:rPr>
              <w:t>Structured history, adaptive interview, evidence states and symptom assessment.</w:t>
            </w:r>
          </w:p>
        </w:tc>
        <w:tc>
          <w:tcPr>
            <w:tcW w:type="dxa" w:w="3902"/>
            <w:vAlign w:val="center"/>
          </w:tcPr>
          <w:p>
            <w:pPr>
              <w:spacing w:after="0" w:line="240" w:lineRule="auto"/>
              <w:jc w:val="left"/>
            </w:pPr>
            <w:r>
              <w:rPr>
                <w:rFonts w:ascii="Times New Roman" w:hAnsi="Times New Roman" w:eastAsia="Times New Roman"/>
                <w:b w:val="0"/>
                <w:i w:val="0"/>
                <w:color w:val="000000"/>
                <w:sz w:val="20"/>
              </w:rPr>
              <w:t>Established intake functionality. Version-specific patient approval is not documented in the cited pages.</w:t>
            </w:r>
          </w:p>
        </w:tc>
      </w:tr>
      <w:tr>
        <w:trPr>
          <w:cantSplit/>
        </w:trPr>
        <w:tc>
          <w:tcPr>
            <w:tcW w:type="dxa" w:w="1584"/>
            <w:vAlign w:val="center"/>
          </w:tcPr>
          <w:p>
            <w:pPr>
              <w:spacing w:after="0" w:line="240" w:lineRule="auto"/>
              <w:jc w:val="left"/>
            </w:pPr>
            <w:r>
              <w:rPr>
                <w:rFonts w:ascii="Times New Roman" w:hAnsi="Times New Roman" w:eastAsia="Times New Roman"/>
                <w:b w:val="0"/>
                <w:i w:val="0"/>
                <w:color w:val="000000"/>
                <w:sz w:val="20"/>
              </w:rPr>
              <w:t>Ada [5]</w:t>
            </w:r>
          </w:p>
        </w:tc>
        <w:tc>
          <w:tcPr>
            <w:tcW w:type="dxa" w:w="3528"/>
            <w:vAlign w:val="center"/>
          </w:tcPr>
          <w:p>
            <w:pPr>
              <w:spacing w:after="0" w:line="240" w:lineRule="auto"/>
              <w:jc w:val="left"/>
            </w:pPr>
            <w:r>
              <w:rPr>
                <w:rFonts w:ascii="Times New Roman" w:hAnsi="Times New Roman" w:eastAsia="Times New Roman"/>
                <w:b w:val="0"/>
                <w:i w:val="0"/>
                <w:color w:val="000000"/>
                <w:sz w:val="20"/>
              </w:rPr>
              <w:t>Health-profile-informed symptom questions and a possible-cause report.</w:t>
            </w:r>
          </w:p>
        </w:tc>
        <w:tc>
          <w:tcPr>
            <w:tcW w:type="dxa" w:w="3902"/>
            <w:vAlign w:val="center"/>
          </w:tcPr>
          <w:p>
            <w:pPr>
              <w:spacing w:after="0" w:line="240" w:lineRule="auto"/>
              <w:jc w:val="left"/>
            </w:pPr>
            <w:r>
              <w:rPr>
                <w:rFonts w:ascii="Times New Roman" w:hAnsi="Times New Roman" w:eastAsia="Times New Roman"/>
                <w:b w:val="0"/>
                <w:i w:val="0"/>
                <w:color w:val="000000"/>
                <w:sz w:val="20"/>
              </w:rPr>
              <w:t>Similar patient entry task; source-span and version-approval controls are not documented in the cited page.</w:t>
            </w:r>
          </w:p>
        </w:tc>
      </w:tr>
      <w:tr>
        <w:trPr>
          <w:cantSplit/>
        </w:trPr>
        <w:tc>
          <w:tcPr>
            <w:tcW w:type="dxa" w:w="1584"/>
            <w:vAlign w:val="center"/>
          </w:tcPr>
          <w:p>
            <w:pPr>
              <w:spacing w:after="0" w:line="240" w:lineRule="auto"/>
              <w:jc w:val="left"/>
            </w:pPr>
            <w:r>
              <w:rPr>
                <w:rFonts w:ascii="Times New Roman" w:hAnsi="Times New Roman" w:eastAsia="Times New Roman"/>
                <w:b w:val="0"/>
                <w:i w:val="0"/>
                <w:color w:val="000000"/>
                <w:sz w:val="20"/>
              </w:rPr>
              <w:t>AMIE [6]</w:t>
            </w:r>
          </w:p>
        </w:tc>
        <w:tc>
          <w:tcPr>
            <w:tcW w:type="dxa" w:w="3528"/>
            <w:vAlign w:val="center"/>
          </w:tcPr>
          <w:p>
            <w:pPr>
              <w:spacing w:after="0" w:line="240" w:lineRule="auto"/>
              <w:jc w:val="left"/>
            </w:pPr>
            <w:r>
              <w:rPr>
                <w:rFonts w:ascii="Times New Roman" w:hAnsi="Times New Roman" w:eastAsia="Times New Roman"/>
                <w:b w:val="0"/>
                <w:i w:val="0"/>
                <w:color w:val="000000"/>
                <w:sz w:val="20"/>
              </w:rPr>
              <w:t>LLM diagnostic dialogue and differential diagnosis, studied with patient actors.</w:t>
            </w:r>
          </w:p>
        </w:tc>
        <w:tc>
          <w:tcPr>
            <w:tcW w:type="dxa" w:w="3902"/>
            <w:vAlign w:val="center"/>
          </w:tcPr>
          <w:p>
            <w:pPr>
              <w:spacing w:after="0" w:line="240" w:lineRule="auto"/>
              <w:jc w:val="left"/>
            </w:pPr>
            <w:r>
              <w:rPr>
                <w:rFonts w:ascii="Times New Roman" w:hAnsi="Times New Roman" w:eastAsia="Times New Roman"/>
                <w:b w:val="0"/>
                <w:i w:val="0"/>
                <w:color w:val="000000"/>
                <w:sz w:val="20"/>
              </w:rPr>
              <w:t>Much stronger clinical evaluation; not evidence that this prototype is accurate.</w:t>
            </w:r>
          </w:p>
        </w:tc>
      </w:tr>
      <w:tr>
        <w:trPr>
          <w:cantSplit/>
        </w:trPr>
        <w:tc>
          <w:tcPr>
            <w:tcW w:type="dxa" w:w="1584"/>
            <w:vAlign w:val="center"/>
          </w:tcPr>
          <w:p>
            <w:pPr>
              <w:spacing w:after="0" w:line="240" w:lineRule="auto"/>
              <w:jc w:val="left"/>
            </w:pPr>
            <w:r>
              <w:rPr>
                <w:rFonts w:ascii="Times New Roman" w:hAnsi="Times New Roman" w:eastAsia="Times New Roman"/>
                <w:b w:val="0"/>
                <w:i w:val="0"/>
                <w:color w:val="000000"/>
                <w:sz w:val="20"/>
              </w:rPr>
              <w:t>PreConsult</w:t>
            </w:r>
          </w:p>
        </w:tc>
        <w:tc>
          <w:tcPr>
            <w:tcW w:type="dxa" w:w="3528"/>
            <w:vAlign w:val="center"/>
          </w:tcPr>
          <w:p>
            <w:pPr>
              <w:spacing w:after="0" w:line="240" w:lineRule="auto"/>
              <w:jc w:val="left"/>
            </w:pPr>
            <w:r>
              <w:rPr>
                <w:rFonts w:ascii="Times New Roman" w:hAnsi="Times New Roman" w:eastAsia="Times New Roman"/>
                <w:b w:val="0"/>
                <w:i w:val="0"/>
                <w:color w:val="000000"/>
                <w:sz w:val="20"/>
              </w:rPr>
              <w:t>Bounded preparation wizard, cited factual handoff and optional preliminary assessment.</w:t>
            </w:r>
          </w:p>
        </w:tc>
        <w:tc>
          <w:tcPr>
            <w:tcW w:type="dxa" w:w="3902"/>
            <w:vAlign w:val="center"/>
          </w:tcPr>
          <w:p>
            <w:pPr>
              <w:spacing w:after="0" w:line="240" w:lineRule="auto"/>
              <w:jc w:val="left"/>
            </w:pPr>
            <w:r>
              <w:rPr>
                <w:rFonts w:ascii="Times New Roman" w:hAnsi="Times New Roman" w:eastAsia="Times New Roman"/>
                <w:b w:val="0"/>
                <w:i w:val="0"/>
                <w:color w:val="000000"/>
                <w:sz w:val="20"/>
              </w:rPr>
              <w:t>Explicit uncertainty/refusal, correction history and revocable sharing of an approved version. Engineering evaluation only.</w:t>
            </w:r>
          </w:p>
        </w:tc>
      </w:tr>
    </w:tbl>
    <w:p>
      <w:pPr>
        <w:widowControl/>
        <w:spacing w:after="140"/>
        <w:jc w:val="left"/>
      </w:pPr>
      <w:r>
        <w:rPr>
          <w:rFonts w:ascii="Times New Roman" w:hAnsi="Times New Roman" w:eastAsia="Times New Roman"/>
          <w:b w:val="0"/>
          <w:i/>
          <w:color w:val="000000"/>
          <w:sz w:val="20"/>
        </w:rPr>
        <w:t>Table 2. Related systems and the specific project contribution. Undocumented features are not assumed absent.</w:t>
      </w:r>
    </w:p>
    <w:p>
      <w:pPr>
        <w:pStyle w:val="Heading2"/>
        <w:widowControl/>
        <w:jc w:val="left"/>
      </w:pPr>
      <w:r>
        <w:rPr>
          <w:rFonts w:ascii="Times New Roman" w:hAnsi="Times New Roman" w:eastAsia="Times New Roman"/>
          <w:b/>
          <w:i w:val="0"/>
          <w:color w:val="1F3864"/>
          <w:sz w:val="25"/>
        </w:rPr>
        <w:t>3.1 Specific contribution</w:t>
      </w:r>
    </w:p>
    <w:p>
      <w:pPr>
        <w:widowControl/>
        <w:jc w:val="both"/>
      </w:pPr>
      <w:r>
        <w:rPr>
          <w:rFonts w:ascii="Times New Roman" w:hAnsi="Times New Roman" w:eastAsia="Times New Roman"/>
          <w:b w:val="0"/>
          <w:i w:val="0"/>
          <w:color w:val="000000"/>
          <w:sz w:val="22"/>
        </w:rPr>
        <w:t>Our contribution is an integrated and inspectable preparation workflow: one question per step; normally one AI batch of no more than five questions; distinct missing, uncertain and declined states; evidence and correction history; and access tied to approval of a particular version. Patient-facing questions, suggested answers, symptom names and reports follow the selected language while source evidence remains intact. These are concrete engineering choices, rather than a new clinical reasoning method or a claim of superiority to commercial products.</w:t>
      </w:r>
    </w:p>
    <w:p>
      <w:pPr>
        <w:widowControl/>
        <w:jc w:val="both"/>
      </w:pPr>
      <w:r>
        <w:rPr>
          <w:rFonts w:ascii="Times New Roman" w:hAnsi="Times New Roman" w:eastAsia="Times New Roman"/>
          <w:b w:val="0"/>
          <w:i w:val="0"/>
          <w:color w:val="000000"/>
          <w:sz w:val="22"/>
        </w:rPr>
        <w:t>The Track A contribution is therefore the complete user journey and its controlled interaction with GenAI. It includes persisted state, bounded model proposals, file and voice inputs, explicit error states and a real recipient-specific handoff, beyond a standalone prompt demonstration.</w:t>
      </w:r>
    </w:p>
    <w:p>
      <w:pPr>
        <w:pStyle w:val="Heading1"/>
        <w:pageBreakBefore/>
        <w:widowControl/>
        <w:jc w:val="left"/>
      </w:pPr>
      <w:r>
        <w:rPr>
          <w:rFonts w:ascii="Times New Roman" w:hAnsi="Times New Roman" w:eastAsia="Times New Roman"/>
          <w:b/>
          <w:i w:val="0"/>
          <w:color w:val="1F3864"/>
          <w:sz w:val="30"/>
        </w:rPr>
        <w:t>4 System design</w:t>
      </w:r>
    </w:p>
    <w:p>
      <w:pPr>
        <w:widowControl/>
        <w:jc w:val="both"/>
      </w:pPr>
      <w:r>
        <w:rPr>
          <w:rFonts w:ascii="Times New Roman" w:hAnsi="Times New Roman" w:eastAsia="Times New Roman"/>
          <w:b w:val="0"/>
          <w:i w:val="0"/>
          <w:color w:val="000000"/>
          <w:sz w:val="22"/>
        </w:rPr>
        <w:t>The active product lives in backend/app/product and frontend/src/product. React 18 and Vite 8 provide the patient and clinician interfaces; FastAPI serves the built client and /api/v1 from one local origin. The runtime starts through scripts/start-local.sh. Figure 1 separates the model’s language operations from application authority.</w:t>
      </w:r>
    </w:p>
    <w:p>
      <w:pPr>
        <w:keepNext/>
        <w:spacing w:after="60"/>
        <w:jc w:val="center"/>
      </w:pPr>
      <w:r>
        <w:drawing>
          <wp:inline>
            <wp:extent cx="5715000" cy="3108960"/>
            <wp:docPr id="1749116759" name="Picture 1749116759" descr="Current PreConsult interface screenshot or architecture diagram; see adjacent caption for provenance."/>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715000" cy="3108960"/>
                    </a:xfrm>
                    <a:prstGeom prst="rect"/>
                  </pic:spPr>
                </pic:pic>
              </a:graphicData>
            </a:graphic>
          </wp:inline>
        </w:drawing>
      </w:r>
    </w:p>
    <w:p>
      <w:pPr>
        <w:widowControl/>
        <w:spacing w:after="140"/>
        <w:jc w:val="left"/>
      </w:pPr>
      <w:r>
        <w:rPr>
          <w:rFonts w:ascii="Times New Roman" w:hAnsi="Times New Roman" w:eastAsia="Times New Roman"/>
          <w:b w:val="0"/>
          <w:i/>
          <w:color w:val="000000"/>
          <w:sz w:val="20"/>
        </w:rPr>
        <w:t>Figure 1. Current product architecture at commit 91a8543. The backend validates model proposals and checks ownership, version and approval before clinician access.</w:t>
      </w:r>
    </w:p>
    <w:p>
      <w:pPr>
        <w:pStyle w:val="Heading2"/>
        <w:widowControl/>
        <w:jc w:val="left"/>
      </w:pPr>
      <w:r>
        <w:rPr>
          <w:rFonts w:ascii="Times New Roman" w:hAnsi="Times New Roman" w:eastAsia="Times New Roman"/>
          <w:b/>
          <w:i w:val="0"/>
          <w:color w:val="1F3864"/>
          <w:sz w:val="25"/>
        </w:rPr>
        <w:t>4.1 Information flow and state</w:t>
      </w:r>
    </w:p>
    <w:p>
      <w:pPr>
        <w:widowControl/>
        <w:jc w:val="both"/>
      </w:pPr>
      <w:r>
        <w:rPr>
          <w:rFonts w:ascii="Times New Roman" w:hAnsi="Times New Roman" w:eastAsia="Times New Roman"/>
          <w:b w:val="0"/>
          <w:i w:val="0"/>
          <w:color w:val="000000"/>
          <w:sz w:val="22"/>
        </w:rPr>
        <w:t>A verified patient creates an intake, chooses a workflow or custom concern, and supplies baseline answers. The engine stores a value, state and evidence for each field. Its five states are FILLED, UNCERTAIN, MISSING, SKIPPED and NOT_APPLICABLE. Conditional fields activate from explicit signals. Coverage is filled/applicable; resolution is (filled + uncertain + skipped)/applicable. These equal-weight measures describe completion, not confidence in a diagnosis.</w:t>
      </w:r>
    </w:p>
    <w:p>
      <w:pPr>
        <w:widowControl/>
        <w:jc w:val="both"/>
      </w:pPr>
      <w:r>
        <w:rPr>
          <w:rFonts w:ascii="Times New Roman" w:hAnsi="Times New Roman" w:eastAsia="Times New Roman"/>
          <w:b w:val="0"/>
          <w:i w:val="0"/>
          <w:color w:val="000000"/>
          <w:sz w:val="22"/>
        </w:rPr>
        <w:t>The pipeline offers the model only eligible follow-up targets, validates its proposed batch, saves each answer draft and submits the batch together. Synthesis reads the current source registry; superseded values, removed facts and private history are excluded. Patients review the output, correct the record if needed, and approve a selected version for a registered doctor. Editing an approved record requires withdrawal; access checks also protect report and attachment downloads.</w:t>
      </w:r>
    </w:p>
    <w:p>
      <w:pPr>
        <w:pStyle w:val="Heading2"/>
        <w:widowControl/>
        <w:jc w:val="left"/>
      </w:pPr>
      <w:r>
        <w:rPr>
          <w:rFonts w:ascii="Times New Roman" w:hAnsi="Times New Roman" w:eastAsia="Times New Roman"/>
          <w:b/>
          <w:i w:val="0"/>
          <w:color w:val="1F3864"/>
          <w:sz w:val="25"/>
        </w:rPr>
        <w:t>4.2 Persistence and reusable memory</w:t>
      </w:r>
    </w:p>
    <w:p>
      <w:pPr>
        <w:widowControl/>
        <w:jc w:val="both"/>
      </w:pPr>
      <w:r>
        <w:rPr>
          <w:rFonts w:ascii="Times New Roman" w:hAnsi="Times New Roman" w:eastAsia="Times New Roman"/>
          <w:b w:val="0"/>
          <w:i w:val="0"/>
          <w:color w:val="000000"/>
          <w:sz w:val="22"/>
        </w:rPr>
        <w:t>SQLite stores users, account_roles, patient_profiles, otp_challenges, sessions, rate_limits and intakes. Nested intake JSON contains structured state, evidence, operations and approval metadata. Transactions, WAL and revision compare-and-swap protect updates; a stale save returns a conflict instead of overwriting a newer version. External model calls run outside database write transactions. Uploaded files use local private storage.</w:t>
      </w:r>
    </w:p>
    <w:p>
      <w:pPr>
        <w:widowControl/>
        <w:jc w:val="both"/>
      </w:pPr>
      <w:r>
        <w:rPr>
          <w:rFonts w:ascii="Times New Roman" w:hAnsi="Times New Roman" w:eastAsia="Times New Roman"/>
          <w:b w:val="0"/>
          <w:i w:val="0"/>
          <w:color w:val="000000"/>
          <w:sz w:val="22"/>
        </w:rPr>
        <w:t>Reusable profile fields include date of birth, sex at birth, ABO with optional Rh, relevant histories and accessibility needs. Each encounter takes a snapshot, so later profile edits do not rewrite previous visits. Current symptoms, measurements and pregnancy are not silently carried forward. Dated medicine and allergy answers are suggestions requiring a fresh user action; a later refusal, uncertainty or clearing suppresses older suggestions.</w:t>
      </w:r>
    </w:p>
    <w:p>
      <w:pPr>
        <w:pStyle w:val="Heading1"/>
        <w:pageBreakBefore/>
        <w:widowControl/>
        <w:jc w:val="left"/>
      </w:pPr>
      <w:r>
        <w:rPr>
          <w:rFonts w:ascii="Times New Roman" w:hAnsi="Times New Roman" w:eastAsia="Times New Roman"/>
          <w:b/>
          <w:i w:val="0"/>
          <w:color w:val="1F3864"/>
          <w:sz w:val="30"/>
        </w:rPr>
        <w:t>5 GenAI and agent component</w:t>
      </w:r>
    </w:p>
    <w:p>
      <w:pPr>
        <w:pStyle w:val="Heading2"/>
        <w:widowControl/>
        <w:jc w:val="left"/>
      </w:pPr>
      <w:r>
        <w:rPr>
          <w:rFonts w:ascii="Times New Roman" w:hAnsi="Times New Roman" w:eastAsia="Times New Roman"/>
          <w:b/>
          <w:i w:val="0"/>
          <w:color w:val="1F3864"/>
          <w:sz w:val="25"/>
        </w:rPr>
        <w:t>5.1 Model roles and bounded orchestration</w:t>
      </w:r>
    </w:p>
    <w:p>
      <w:pPr>
        <w:widowControl/>
        <w:jc w:val="both"/>
      </w:pPr>
      <w:r>
        <w:rPr>
          <w:rFonts w:ascii="Times New Roman" w:hAnsi="Times New Roman" w:eastAsia="Times New Roman"/>
          <w:b w:val="0"/>
          <w:i w:val="0"/>
          <w:color w:val="000000"/>
          <w:sz w:val="22"/>
        </w:rPr>
        <w:t>The configured default is gpt-6-astra, selectable in advanced options; transcription uses gpt-4o-mini-transcribe. This is a configuration choice, not a measured best-model result. Provider availability depends on the account. The implementation does not silently substitute another model. Separate Responses API calls handle extraction, planning, synthesis and optional assessment, using strict output schemas and store=false [9].</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1584"/>
        <w:gridCol w:w="5256"/>
        <w:gridCol w:w="2174"/>
      </w:tblGrid>
      <w:tr>
        <w:trPr>
          <w:cantSplit/>
          <w:tblHeader/>
        </w:trPr>
        <w:tc>
          <w:tcPr>
            <w:tcW w:type="dxa" w:w="1584"/>
            <w:vAlign w:val="center"/>
            <w:shd w:fill="D9E2F3"/>
          </w:tcPr>
          <w:p>
            <w:pPr>
              <w:spacing w:after="0" w:line="240" w:lineRule="auto"/>
              <w:jc w:val="left"/>
            </w:pPr>
            <w:r>
              <w:rPr>
                <w:rFonts w:ascii="Times New Roman" w:hAnsi="Times New Roman" w:eastAsia="Times New Roman"/>
                <w:b/>
                <w:i w:val="0"/>
                <w:color w:val="000000"/>
                <w:sz w:val="20"/>
              </w:rPr>
              <w:t>Operation</w:t>
            </w:r>
          </w:p>
        </w:tc>
        <w:tc>
          <w:tcPr>
            <w:tcW w:type="dxa" w:w="5256"/>
            <w:vAlign w:val="center"/>
            <w:shd w:fill="D9E2F3"/>
          </w:tcPr>
          <w:p>
            <w:pPr>
              <w:spacing w:after="0" w:line="240" w:lineRule="auto"/>
              <w:jc w:val="left"/>
            </w:pPr>
            <w:r>
              <w:rPr>
                <w:rFonts w:ascii="Times New Roman" w:hAnsi="Times New Roman" w:eastAsia="Times New Roman"/>
                <w:b/>
                <w:i w:val="0"/>
                <w:color w:val="000000"/>
                <w:sz w:val="20"/>
              </w:rPr>
              <w:t>Context and enforced boundary</w:t>
            </w:r>
          </w:p>
        </w:tc>
        <w:tc>
          <w:tcPr>
            <w:tcW w:type="dxa" w:w="2174"/>
            <w:vAlign w:val="center"/>
            <w:shd w:fill="D9E2F3"/>
          </w:tcPr>
          <w:p>
            <w:pPr>
              <w:spacing w:after="0" w:line="240" w:lineRule="auto"/>
              <w:jc w:val="left"/>
            </w:pPr>
            <w:r>
              <w:rPr>
                <w:rFonts w:ascii="Times New Roman" w:hAnsi="Times New Roman" w:eastAsia="Times New Roman"/>
                <w:b/>
                <w:i w:val="0"/>
                <w:color w:val="000000"/>
                <w:sz w:val="20"/>
              </w:rPr>
              <w:t>Output budget / timeout</w:t>
            </w:r>
          </w:p>
        </w:tc>
      </w:tr>
      <w:tr>
        <w:trPr>
          <w:cantSplit/>
        </w:trPr>
        <w:tc>
          <w:tcPr>
            <w:tcW w:type="dxa" w:w="1584"/>
            <w:vAlign w:val="center"/>
          </w:tcPr>
          <w:p>
            <w:pPr>
              <w:spacing w:after="0" w:line="240" w:lineRule="auto"/>
              <w:jc w:val="left"/>
            </w:pPr>
            <w:r>
              <w:rPr>
                <w:rFonts w:ascii="Times New Roman" w:hAnsi="Times New Roman" w:eastAsia="Times New Roman"/>
                <w:b w:val="0"/>
                <w:i w:val="0"/>
                <w:color w:val="000000"/>
                <w:sz w:val="20"/>
              </w:rPr>
              <w:t>Extraction</w:t>
            </w:r>
          </w:p>
        </w:tc>
        <w:tc>
          <w:tcPr>
            <w:tcW w:type="dxa" w:w="5256"/>
            <w:vAlign w:val="center"/>
          </w:tcPr>
          <w:p>
            <w:pPr>
              <w:spacing w:after="0" w:line="240" w:lineRule="auto"/>
              <w:jc w:val="left"/>
            </w:pPr>
            <w:r>
              <w:rPr>
                <w:rFonts w:ascii="Times New Roman" w:hAnsi="Times New Roman" w:eastAsia="Times New Roman"/>
                <w:b w:val="0"/>
                <w:i w:val="0"/>
                <w:color w:val="000000"/>
                <w:sz w:val="20"/>
              </w:rPr>
              <w:t>Current message, quoted evidence, schema and allowed fields; values must match contiguous source spans.</w:t>
            </w:r>
          </w:p>
        </w:tc>
        <w:tc>
          <w:tcPr>
            <w:tcW w:type="dxa" w:w="2174"/>
            <w:vAlign w:val="center"/>
          </w:tcPr>
          <w:p>
            <w:pPr>
              <w:spacing w:after="0" w:line="240" w:lineRule="auto"/>
              <w:jc w:val="left"/>
            </w:pPr>
            <w:r>
              <w:rPr>
                <w:rFonts w:ascii="Times New Roman" w:hAnsi="Times New Roman" w:eastAsia="Times New Roman"/>
                <w:b w:val="0"/>
                <w:i w:val="0"/>
                <w:color w:val="000000"/>
                <w:sz w:val="20"/>
              </w:rPr>
              <w:t>14,000 tokens / 90 s</w:t>
            </w:r>
          </w:p>
        </w:tc>
      </w:tr>
      <w:tr>
        <w:trPr>
          <w:cantSplit/>
        </w:trPr>
        <w:tc>
          <w:tcPr>
            <w:tcW w:type="dxa" w:w="1584"/>
            <w:vAlign w:val="center"/>
          </w:tcPr>
          <w:p>
            <w:pPr>
              <w:spacing w:after="0" w:line="240" w:lineRule="auto"/>
              <w:jc w:val="left"/>
            </w:pPr>
            <w:r>
              <w:rPr>
                <w:rFonts w:ascii="Times New Roman" w:hAnsi="Times New Roman" w:eastAsia="Times New Roman"/>
                <w:b w:val="0"/>
                <w:i w:val="0"/>
                <w:color w:val="000000"/>
                <w:sz w:val="20"/>
              </w:rPr>
              <w:t>Follow-up plan</w:t>
            </w:r>
          </w:p>
        </w:tc>
        <w:tc>
          <w:tcPr>
            <w:tcW w:type="dxa" w:w="5256"/>
            <w:vAlign w:val="center"/>
          </w:tcPr>
          <w:p>
            <w:pPr>
              <w:spacing w:after="0" w:line="240" w:lineRule="auto"/>
              <w:jc w:val="left"/>
            </w:pPr>
            <w:r>
              <w:rPr>
                <w:rFonts w:ascii="Times New Roman" w:hAnsi="Times New Roman" w:eastAsia="Times New Roman"/>
                <w:b w:val="0"/>
                <w:i w:val="0"/>
                <w:color w:val="000000"/>
                <w:sz w:val="20"/>
              </w:rPr>
              <w:t>Current structured context and eligible target IDs; no repeats; normal batch ≤5 questions.</w:t>
            </w:r>
          </w:p>
        </w:tc>
        <w:tc>
          <w:tcPr>
            <w:tcW w:type="dxa" w:w="2174"/>
            <w:vAlign w:val="center"/>
          </w:tcPr>
          <w:p>
            <w:pPr>
              <w:spacing w:after="0" w:line="240" w:lineRule="auto"/>
              <w:jc w:val="left"/>
            </w:pPr>
            <w:r>
              <w:rPr>
                <w:rFonts w:ascii="Times New Roman" w:hAnsi="Times New Roman" w:eastAsia="Times New Roman"/>
                <w:b w:val="0"/>
                <w:i w:val="0"/>
                <w:color w:val="000000"/>
                <w:sz w:val="20"/>
              </w:rPr>
              <w:t>6,000 tokens / 75 s</w:t>
            </w:r>
          </w:p>
        </w:tc>
      </w:tr>
      <w:tr>
        <w:trPr>
          <w:cantSplit/>
        </w:trPr>
        <w:tc>
          <w:tcPr>
            <w:tcW w:type="dxa" w:w="1584"/>
            <w:vAlign w:val="center"/>
          </w:tcPr>
          <w:p>
            <w:pPr>
              <w:spacing w:after="0" w:line="240" w:lineRule="auto"/>
              <w:jc w:val="left"/>
            </w:pPr>
            <w:r>
              <w:rPr>
                <w:rFonts w:ascii="Times New Roman" w:hAnsi="Times New Roman" w:eastAsia="Times New Roman"/>
                <w:b w:val="0"/>
                <w:i w:val="0"/>
                <w:color w:val="000000"/>
                <w:sz w:val="20"/>
              </w:rPr>
              <w:t>Factual synthesis</w:t>
            </w:r>
          </w:p>
        </w:tc>
        <w:tc>
          <w:tcPr>
            <w:tcW w:type="dxa" w:w="5256"/>
            <w:vAlign w:val="center"/>
          </w:tcPr>
          <w:p>
            <w:pPr>
              <w:spacing w:after="0" w:line="240" w:lineRule="auto"/>
              <w:jc w:val="left"/>
            </w:pPr>
            <w:r>
              <w:rPr>
                <w:rFonts w:ascii="Times New Roman" w:hAnsi="Times New Roman" w:eastAsia="Times New Roman"/>
                <w:b w:val="0"/>
                <w:i w:val="0"/>
                <w:color w:val="000000"/>
                <w:sz w:val="20"/>
              </w:rPr>
              <w:t>Current sources and concern IDs; patient overview, clinician brief, agenda and uncertainties with citations.</w:t>
            </w:r>
          </w:p>
        </w:tc>
        <w:tc>
          <w:tcPr>
            <w:tcW w:type="dxa" w:w="2174"/>
            <w:vAlign w:val="center"/>
          </w:tcPr>
          <w:p>
            <w:pPr>
              <w:spacing w:after="0" w:line="240" w:lineRule="auto"/>
              <w:jc w:val="left"/>
            </w:pPr>
            <w:r>
              <w:rPr>
                <w:rFonts w:ascii="Times New Roman" w:hAnsi="Times New Roman" w:eastAsia="Times New Roman"/>
                <w:b w:val="0"/>
                <w:i w:val="0"/>
                <w:color w:val="000000"/>
                <w:sz w:val="20"/>
              </w:rPr>
              <w:t>6,500–16,000 tokens / 75 s</w:t>
            </w:r>
          </w:p>
        </w:tc>
      </w:tr>
      <w:tr>
        <w:trPr>
          <w:cantSplit/>
        </w:trPr>
        <w:tc>
          <w:tcPr>
            <w:tcW w:type="dxa" w:w="1584"/>
            <w:vAlign w:val="center"/>
          </w:tcPr>
          <w:p>
            <w:pPr>
              <w:spacing w:after="0" w:line="240" w:lineRule="auto"/>
              <w:jc w:val="left"/>
            </w:pPr>
            <w:r>
              <w:rPr>
                <w:rFonts w:ascii="Times New Roman" w:hAnsi="Times New Roman" w:eastAsia="Times New Roman"/>
                <w:b w:val="0"/>
                <w:i w:val="0"/>
                <w:color w:val="000000"/>
                <w:sz w:val="20"/>
              </w:rPr>
              <w:t>Optional assessment</w:t>
            </w:r>
          </w:p>
        </w:tc>
        <w:tc>
          <w:tcPr>
            <w:tcW w:type="dxa" w:w="5256"/>
            <w:vAlign w:val="center"/>
          </w:tcPr>
          <w:p>
            <w:pPr>
              <w:spacing w:after="0" w:line="240" w:lineRule="auto"/>
              <w:jc w:val="left"/>
            </w:pPr>
            <w:r>
              <w:rPr>
                <w:rFonts w:ascii="Times New Roman" w:hAnsi="Times New Roman" w:eastAsia="Times New Roman"/>
                <w:b w:val="0"/>
                <w:i w:val="0"/>
                <w:color w:val="000000"/>
                <w:sz w:val="20"/>
              </w:rPr>
              <w:t>Current record plus uploaded files; separate provisional possibilities, uncertainty and guidance.</w:t>
            </w:r>
          </w:p>
        </w:tc>
        <w:tc>
          <w:tcPr>
            <w:tcW w:type="dxa" w:w="2174"/>
            <w:vAlign w:val="center"/>
          </w:tcPr>
          <w:p>
            <w:pPr>
              <w:spacing w:after="0" w:line="240" w:lineRule="auto"/>
              <w:jc w:val="left"/>
            </w:pPr>
            <w:r>
              <w:rPr>
                <w:rFonts w:ascii="Times New Roman" w:hAnsi="Times New Roman" w:eastAsia="Times New Roman"/>
                <w:b w:val="0"/>
                <w:i w:val="0"/>
                <w:color w:val="000000"/>
                <w:sz w:val="20"/>
              </w:rPr>
              <w:t>16,000 tokens / 180 s</w:t>
            </w:r>
          </w:p>
        </w:tc>
      </w:tr>
    </w:tbl>
    <w:p>
      <w:pPr>
        <w:widowControl/>
        <w:spacing w:after="140"/>
        <w:jc w:val="left"/>
      </w:pPr>
      <w:r>
        <w:rPr>
          <w:rFonts w:ascii="Times New Roman" w:hAnsi="Times New Roman" w:eastAsia="Times New Roman"/>
          <w:b w:val="0"/>
          <w:i/>
          <w:color w:val="000000"/>
          <w:sz w:val="20"/>
        </w:rPr>
        <w:t>Table 3. Configured upper bounds, not measured usage. Synthesis budget is min(16,000, 6,500 + 400 × max(0, concerns − 3)).</w:t>
      </w:r>
    </w:p>
    <w:p>
      <w:pPr>
        <w:widowControl/>
        <w:jc w:val="both"/>
      </w:pPr>
      <w:r>
        <w:rPr>
          <w:rFonts w:ascii="Times New Roman" w:hAnsi="Times New Roman" w:eastAsia="Times New Roman"/>
          <w:b w:val="0"/>
          <w:i w:val="0"/>
          <w:color w:val="000000"/>
          <w:sz w:val="22"/>
        </w:rPr>
        <w:t>The application controls eligibility, schema checks, evidence acceptance, stopping and approval. The model chooses among permitted follow-up targets and words the question; it does not freely select tools or overwrite arbitrary fields. Normally all AI clarifications fit in one batch, displayed one per step. A newly introduced medicine/allergy conflict can permit one exceptional second round, also capped at five. Ordinary missing fields do not trigger repeated questioning.</w:t>
      </w:r>
    </w:p>
    <w:p>
      <w:pPr>
        <w:pStyle w:val="Heading2"/>
        <w:widowControl/>
        <w:jc w:val="left"/>
      </w:pPr>
      <w:r>
        <w:rPr>
          <w:rFonts w:ascii="Times New Roman" w:hAnsi="Times New Roman" w:eastAsia="Times New Roman"/>
          <w:b/>
          <w:i w:val="0"/>
          <w:color w:val="1F3864"/>
          <w:sz w:val="25"/>
        </w:rPr>
        <w:t>5.2 Context and prompt contracts</w:t>
      </w:r>
    </w:p>
    <w:p>
      <w:pPr>
        <w:widowControl/>
        <w:jc w:val="both"/>
      </w:pPr>
      <w:r>
        <w:rPr>
          <w:rFonts w:ascii="Times New Roman" w:hAnsi="Times New Roman" w:eastAsia="Times New Roman"/>
          <w:b w:val="0"/>
          <w:i w:val="0"/>
          <w:color w:val="000000"/>
          <w:sz w:val="22"/>
        </w:rPr>
        <w:t>Extraction treats patient text as data and requests candidate values with source spans. The engine rejects unsupported spans or disallowed updates. Planning supplies the eligible identifiers, requests useful clarification with a reason and up to three suggested answers, and leaves precise or unsuitable answers to free text. Synthesis receives only current shareable sources and must return cited statements without filling gaps from medical assumptions. Appendix A identifies the exact prompts and validators in the frozen source.</w:t>
      </w:r>
    </w:p>
    <w:p>
      <w:pPr>
        <w:widowControl/>
        <w:jc w:val="both"/>
      </w:pPr>
      <w:r>
        <w:rPr>
          <w:rFonts w:ascii="Times New Roman" w:hAnsi="Times New Roman" w:eastAsia="Times New Roman"/>
          <w:b w:val="0"/>
          <w:i w:val="0"/>
          <w:color w:val="000000"/>
          <w:sz w:val="22"/>
        </w:rPr>
        <w:t>Validation checks known source IDs, concern ownership, duplicate or empty references, new numbers, lost negation and lost uncertainty. A wrong-language output may receive one targeted repair; this is not a general retry policy. Invalid or unavailable model output is surfaced as a failure, with saved answers and structured notes preserved. Valid citation identifiers do not prove semantic faithfulness, as the audit in Section 7 shows.</w:t>
      </w:r>
    </w:p>
    <w:p>
      <w:pPr>
        <w:pStyle w:val="Heading2"/>
        <w:widowControl/>
        <w:jc w:val="left"/>
      </w:pPr>
      <w:r>
        <w:rPr>
          <w:rFonts w:ascii="Times New Roman" w:hAnsi="Times New Roman" w:eastAsia="Times New Roman"/>
          <w:b/>
          <w:i w:val="0"/>
          <w:color w:val="1F3864"/>
          <w:sz w:val="25"/>
        </w:rPr>
        <w:t>5.3 Languages and multimodal boundaries</w:t>
      </w:r>
    </w:p>
    <w:p>
      <w:pPr>
        <w:widowControl/>
        <w:jc w:val="both"/>
      </w:pPr>
      <w:r>
        <w:rPr>
          <w:rFonts w:ascii="Times New Roman" w:hAnsi="Times New Roman" w:eastAsia="Times New Roman"/>
          <w:b w:val="0"/>
          <w:i w:val="0"/>
          <w:color w:val="000000"/>
          <w:sz w:val="22"/>
        </w:rPr>
        <w:t>English is the default; Simplified Chinese, Traditional Chinese, Korean and Japanese are supported. Locale instructions cover AI questions, options and report text as well as UI labels and symptom names. Language changes preserve question IDs and drafts. Unapproved generated content must be refreshed when stale; approved originals remain protected until withdrawal. Script checks are bounded safeguards, not complete translation-quality assessment.</w:t>
      </w:r>
    </w:p>
    <w:p>
      <w:pPr>
        <w:widowControl/>
        <w:jc w:val="both"/>
      </w:pPr>
      <w:r>
        <w:rPr>
          <w:rFonts w:ascii="Times New Roman" w:hAnsi="Times New Roman" w:eastAsia="Times New Roman"/>
          <w:b w:val="0"/>
          <w:i w:val="0"/>
          <w:color w:val="000000"/>
          <w:sz w:val="22"/>
        </w:rPr>
        <w:t>Voice audio is transcribed into editable text and is not retained by the application. Document reading and the optional assessment can send uploaded material to the provider. The assessment considers all current attachments, directly within a 35 MiB aggregate limit or through bounded filewise analysis and synthesis. No RAG index, embeddings, fine-tuning, autonomous browsing or MCP tools are used in the product workflow: the current patient record is the relevant context.</w:t>
      </w:r>
    </w:p>
    <w:p>
      <w:pPr>
        <w:pStyle w:val="Heading1"/>
        <w:pageBreakBefore/>
        <w:widowControl/>
        <w:jc w:val="left"/>
      </w:pPr>
      <w:r>
        <w:rPr>
          <w:rFonts w:ascii="Times New Roman" w:hAnsi="Times New Roman" w:eastAsia="Times New Roman"/>
          <w:b/>
          <w:i w:val="0"/>
          <w:color w:val="1F3864"/>
          <w:sz w:val="30"/>
        </w:rPr>
        <w:t>6 Implementation and application demonstration</w:t>
      </w:r>
    </w:p>
    <w:p>
      <w:pPr>
        <w:pStyle w:val="Heading2"/>
        <w:widowControl/>
        <w:jc w:val="left"/>
      </w:pPr>
      <w:r>
        <w:rPr>
          <w:rFonts w:ascii="Times New Roman" w:hAnsi="Times New Roman" w:eastAsia="Times New Roman"/>
          <w:b/>
          <w:i w:val="0"/>
          <w:color w:val="1F3864"/>
          <w:sz w:val="25"/>
        </w:rPr>
        <w:t>6.1 Entering and completing the baseline</w:t>
      </w:r>
    </w:p>
    <w:p>
      <w:pPr>
        <w:widowControl/>
        <w:jc w:val="both"/>
      </w:pPr>
      <w:r>
        <w:rPr>
          <w:rFonts w:ascii="Times New Roman" w:hAnsi="Times New Roman" w:eastAsia="Times New Roman"/>
          <w:b w:val="0"/>
          <w:i w:val="0"/>
          <w:color w:val="000000"/>
          <w:sz w:val="22"/>
        </w:rPr>
        <w:t>Figures 2–7 were captured afresh from commit 91a8543 on 21 October 2026 using an isolated database and fictional patient Alex Morgan. They show the actual current UI and API. AI questions, report wording and speech transcription in these captures are deterministic test fixtures; they are interface demonstrations, not fresh model-quality results. No real patient information or external service calls were used for the captures.</w:t>
      </w:r>
    </w:p>
    <w:p>
      <w:pPr>
        <w:keepNext/>
        <w:spacing w:after="60"/>
        <w:jc w:val="center"/>
      </w:pPr>
      <w:r>
        <w:drawing>
          <wp:inline>
            <wp:extent cx="5715000" cy="2782406"/>
            <wp:docPr id="1749116760" name="Picture 1749116760" descr="Current PreConsult interface screenshot or architecture diagram; see adjacent caption for provenance."/>
            <wp:cNvGraphicFramePr>
              <a:graphicFrameLocks noChangeAspect="1"/>
            </wp:cNvGraphicFramePr>
            <a:graphic>
              <a:graphicData uri="http://schemas.openxmlformats.org/drawingml/2006/picture">
                <pic:pic>
                  <pic:nvPicPr>
                    <pic:cNvPr id="0" name="print-01-topic-entry.png"/>
                    <pic:cNvPicPr/>
                  </pic:nvPicPr>
                  <pic:blipFill>
                    <a:blip r:embed="rId13"/>
                    <a:stretch>
                      <a:fillRect/>
                    </a:stretch>
                  </pic:blipFill>
                  <pic:spPr>
                    <a:xfrm>
                      <a:off x="0" y="0"/>
                      <a:ext cx="5715000" cy="2782406"/>
                    </a:xfrm>
                    <a:prstGeom prst="rect"/>
                  </pic:spPr>
                </pic:pic>
              </a:graphicData>
            </a:graphic>
          </wp:inline>
        </w:drawing>
      </w:r>
    </w:p>
    <w:p>
      <w:pPr>
        <w:widowControl/>
        <w:spacing w:after="140"/>
        <w:jc w:val="left"/>
      </w:pPr>
      <w:r>
        <w:rPr>
          <w:rFonts w:ascii="Times New Roman" w:hAnsi="Times New Roman" w:eastAsia="Times New Roman"/>
          <w:b w:val="0"/>
          <w:i/>
          <w:color w:val="000000"/>
          <w:sz w:val="20"/>
        </w:rPr>
        <w:t>Figure 2. Current topic entry. The custom conversation is first; patients can instead select from 30 illustrated workflows. A cropped component is shown for print legibility.</w:t>
      </w:r>
    </w:p>
    <w:p>
      <w:pPr>
        <w:widowControl/>
        <w:jc w:val="both"/>
      </w:pPr>
      <w:r>
        <w:rPr>
          <w:rFonts w:ascii="Times New Roman" w:hAnsi="Times New Roman" w:eastAsia="Times New Roman"/>
          <w:b w:val="0"/>
          <w:i w:val="0"/>
          <w:color w:val="000000"/>
          <w:sz w:val="22"/>
        </w:rPr>
        <w:t>The patient starts with a current concern rather than a page of background fields. A custom concern opens a chat-like composer; a recognised topic opens the matching one-question baseline wizard. Concrete prompts, progress, body diagrams, optional answer cards and explicit unknown/skip actions support completion. Answers save as the patient proceeds, and a review step allows changes before generating the handoff.</w:t>
      </w:r>
    </w:p>
    <w:p>
      <w:pPr>
        <w:widowControl/>
        <w:jc w:val="both"/>
      </w:pPr>
      <w:r>
        <w:rPr>
          <w:rFonts w:ascii="Times New Roman" w:hAnsi="Times New Roman" w:eastAsia="Times New Roman"/>
          <w:b w:val="0"/>
          <w:i w:val="0"/>
          <w:color w:val="000000"/>
          <w:sz w:val="22"/>
        </w:rPr>
        <w:t>Body regions support multiple selections, including left/right areas and front/back views. Equivalent labelled controls provide an alternative to clicking the illustration. The account profile separates A, B, AB and O from optional positive/negative Rh. Stable background information fills relevant encounter fields and can be edited. Previous medication and allergy responses appear as dated quick-fill suggestions, rather than becoming current facts automatically.</w:t>
      </w:r>
    </w:p>
    <w:p>
      <w:pPr>
        <w:widowControl/>
        <w:jc w:val="both"/>
      </w:pPr>
      <w:r>
        <w:rPr>
          <w:rFonts w:ascii="Times New Roman" w:hAnsi="Times New Roman" w:eastAsia="Times New Roman"/>
          <w:b w:val="0"/>
          <w:i w:val="0"/>
          <w:color w:val="000000"/>
          <w:sz w:val="22"/>
        </w:rPr>
        <w:t>The previous separate history, concern and consultation-question prompts are consolidated into a final opportunity to add anything else the doctor should know. The five languages apply to topic names as well as interface chrome; for example, the Chinese topic list no longer leaves “Leg pain” in English. Additional freshly captured profile, body-map and Chinese views appear in Appendix D.</w:t>
      </w:r>
    </w:p>
    <w:p>
      <w:pPr>
        <w:pStyle w:val="Heading2"/>
        <w:pageBreakBefore/>
        <w:widowControl/>
        <w:jc w:val="left"/>
      </w:pPr>
      <w:r>
        <w:rPr>
          <w:rFonts w:ascii="Times New Roman" w:hAnsi="Times New Roman" w:eastAsia="Times New Roman"/>
          <w:b/>
          <w:i w:val="0"/>
          <w:color w:val="1F3864"/>
          <w:sz w:val="25"/>
        </w:rPr>
        <w:t>6.2 Voice without an extra confirmation step</w:t>
      </w:r>
    </w:p>
    <w:p>
      <w:pPr>
        <w:keepNext/>
        <w:spacing w:after="60"/>
        <w:jc w:val="center"/>
      </w:pPr>
      <w:r>
        <w:drawing>
          <wp:inline>
            <wp:extent cx="5612111" cy="1828800"/>
            <wp:docPr id="1749116761" name="Picture 1749116761" descr="Current PreConsult interface screenshot or architecture diagram; see adjacent caption for provenance."/>
            <wp:cNvGraphicFramePr>
              <a:graphicFrameLocks noChangeAspect="1"/>
            </wp:cNvGraphicFramePr>
            <a:graphic>
              <a:graphicData uri="http://schemas.openxmlformats.org/drawingml/2006/picture">
                <pic:pic>
                  <pic:nvPicPr>
                    <pic:cNvPr id="0" name="voice-pair.png"/>
                    <pic:cNvPicPr/>
                  </pic:nvPicPr>
                  <pic:blipFill>
                    <a:blip r:embed="rId14"/>
                    <a:stretch>
                      <a:fillRect/>
                    </a:stretch>
                  </pic:blipFill>
                  <pic:spPr>
                    <a:xfrm>
                      <a:off x="0" y="0"/>
                      <a:ext cx="5612111" cy="1828800"/>
                    </a:xfrm>
                    <a:prstGeom prst="rect"/>
                  </pic:spPr>
                </pic:pic>
              </a:graphicData>
            </a:graphic>
          </wp:inline>
        </w:drawing>
      </w:r>
    </w:p>
    <w:p>
      <w:pPr>
        <w:widowControl/>
        <w:spacing w:after="140"/>
        <w:jc w:val="left"/>
      </w:pPr>
      <w:r>
        <w:rPr>
          <w:rFonts w:ascii="Times New Roman" w:hAnsi="Times New Roman" w:eastAsia="Times New Roman"/>
          <w:b w:val="0"/>
          <w:i/>
          <w:color w:val="000000"/>
          <w:sz w:val="20"/>
        </w:rPr>
        <w:t>Figure 3. Recording and stopped states. Stop starts transcription and fills the normal editable input; submission remains a separate patient action. Audio and transcription are simulated in this UI test.</w:t>
      </w:r>
    </w:p>
    <w:p>
      <w:pPr>
        <w:pStyle w:val="Heading2"/>
        <w:widowControl/>
        <w:jc w:val="left"/>
      </w:pPr>
      <w:r>
        <w:rPr>
          <w:rFonts w:ascii="Times New Roman" w:hAnsi="Times New Roman" w:eastAsia="Times New Roman"/>
          <w:b/>
          <w:i w:val="0"/>
          <w:color w:val="1F3864"/>
          <w:sz w:val="25"/>
        </w:rPr>
        <w:t>6.3 One question per AI follow-up step</w:t>
      </w:r>
    </w:p>
    <w:p>
      <w:pPr>
        <w:widowControl/>
        <w:jc w:val="both"/>
      </w:pPr>
      <w:r>
        <w:rPr>
          <w:rFonts w:ascii="Times New Roman" w:hAnsi="Times New Roman" w:eastAsia="Times New Roman"/>
          <w:b w:val="0"/>
          <w:i w:val="0"/>
          <w:color w:val="000000"/>
          <w:sz w:val="22"/>
        </w:rPr>
        <w:t>“AI analysis and follow-up” explains what remains unclear, then shows one question at a time. Suggested A/B/C responses can be used and edited, or the patient can type or speak their own answer. Unknown and skip remain explicit actions. Back/next navigation retains drafts; the last step reviews the whole batch before one submission. This keeps the bounded multi-question plan while reducing the amount visible at once.</w:t>
      </w:r>
    </w:p>
    <w:p>
      <w:pPr>
        <w:keepNext/>
        <w:spacing w:after="60"/>
        <w:jc w:val="center"/>
      </w:pPr>
      <w:r>
        <w:drawing>
          <wp:inline>
            <wp:extent cx="4434840" cy="4495002"/>
            <wp:docPr id="1749116762" name="Picture 1749116762" descr="Current PreConsult interface screenshot or architecture diagram; see adjacent caption for provenance."/>
            <wp:cNvGraphicFramePr>
              <a:graphicFrameLocks noChangeAspect="1"/>
            </wp:cNvGraphicFramePr>
            <a:graphic>
              <a:graphicData uri="http://schemas.openxmlformats.org/drawingml/2006/picture">
                <pic:pic>
                  <pic:nvPicPr>
                    <pic:cNvPr id="0" name="print-04-followup-step.png"/>
                    <pic:cNvPicPr/>
                  </pic:nvPicPr>
                  <pic:blipFill>
                    <a:blip r:embed="rId15"/>
                    <a:stretch>
                      <a:fillRect/>
                    </a:stretch>
                  </pic:blipFill>
                  <pic:spPr>
                    <a:xfrm>
                      <a:off x="0" y="0"/>
                      <a:ext cx="4434840" cy="4495002"/>
                    </a:xfrm>
                    <a:prstGeom prst="rect"/>
                  </pic:spPr>
                </pic:pic>
              </a:graphicData>
            </a:graphic>
          </wp:inline>
        </w:drawing>
      </w:r>
    </w:p>
    <w:p>
      <w:pPr>
        <w:widowControl/>
        <w:spacing w:after="140"/>
        <w:jc w:val="left"/>
      </w:pPr>
      <w:r>
        <w:rPr>
          <w:rFonts w:ascii="Times New Roman" w:hAnsi="Times New Roman" w:eastAsia="Times New Roman"/>
          <w:b w:val="0"/>
          <w:i/>
          <w:color w:val="000000"/>
          <w:sz w:val="20"/>
        </w:rPr>
        <w:t>Figure 4. Current single-question AI wizard with a saved custom detail. The three-question batch and choices are synthetic fixtures; navigation and draft persistence use the real API.</w:t>
      </w:r>
    </w:p>
    <w:p>
      <w:pPr>
        <w:pStyle w:val="Heading2"/>
        <w:pageBreakBefore/>
        <w:widowControl/>
        <w:jc w:val="left"/>
      </w:pPr>
      <w:r>
        <w:rPr>
          <w:rFonts w:ascii="Times New Roman" w:hAnsi="Times New Roman" w:eastAsia="Times New Roman"/>
          <w:b/>
          <w:i w:val="0"/>
          <w:color w:val="1F3864"/>
          <w:sz w:val="25"/>
        </w:rPr>
        <w:t>6.4 Review of facts and separate assessment</w:t>
      </w:r>
    </w:p>
    <w:p>
      <w:pPr>
        <w:widowControl/>
        <w:jc w:val="both"/>
      </w:pPr>
      <w:r>
        <w:rPr>
          <w:rFonts w:ascii="Times New Roman" w:hAnsi="Times New Roman" w:eastAsia="Times New Roman"/>
          <w:b w:val="0"/>
          <w:i w:val="0"/>
          <w:color w:val="000000"/>
          <w:sz w:val="22"/>
        </w:rPr>
        <w:t>The factual summary offers a patient overview and clinician brief, with source links for inspection. Corrections lead to a new version. A separate optional panel presents preliminary diagnostic possibilities, uncertainty, care guidance and attachment findings, explicitly requiring clinical confirmation. It is not merged into the patient’s original evidence. A model failure is visible and does not prevent access to saved structured notes.</w:t>
      </w:r>
    </w:p>
    <w:p>
      <w:pPr>
        <w:pStyle w:val="Heading2"/>
        <w:widowControl/>
        <w:jc w:val="left"/>
      </w:pPr>
      <w:r>
        <w:rPr>
          <w:rFonts w:ascii="Times New Roman" w:hAnsi="Times New Roman" w:eastAsia="Times New Roman"/>
          <w:b/>
          <w:i w:val="0"/>
          <w:color w:val="1F3864"/>
          <w:sz w:val="25"/>
        </w:rPr>
        <w:t>6.5 Patient approval and clinician handoff</w:t>
      </w:r>
    </w:p>
    <w:p>
      <w:pPr>
        <w:widowControl/>
        <w:jc w:val="both"/>
      </w:pPr>
      <w:r>
        <w:rPr>
          <w:rFonts w:ascii="Times New Roman" w:hAnsi="Times New Roman" w:eastAsia="Times New Roman"/>
          <w:b w:val="0"/>
          <w:i w:val="0"/>
          <w:color w:val="000000"/>
          <w:sz w:val="22"/>
        </w:rPr>
        <w:t>The patient selects a registered clinician email and approves the current version. Any verified email may register either role, but one email cannot hold both roles. Email verification does not establish professional credentials. The clinician dashboard lists only approved records assigned to that account; the patient can withdraw sharing. Marking a record reviewed is a workflow acknowledgement, not confirmation of an AI diagnosis.</w:t>
      </w:r>
    </w:p>
    <w:p>
      <w:pPr>
        <w:keepNext/>
        <w:spacing w:after="60"/>
        <w:jc w:val="center"/>
      </w:pPr>
      <w:r>
        <w:drawing>
          <wp:inline>
            <wp:extent cx="5715000" cy="3892296"/>
            <wp:docPr id="1749116763" name="Picture 1749116763" descr="Current PreConsult interface screenshot or architecture diagram; see adjacent caption for provenance."/>
            <wp:cNvGraphicFramePr>
              <a:graphicFrameLocks noChangeAspect="1"/>
            </wp:cNvGraphicFramePr>
            <a:graphic>
              <a:graphicData uri="http://schemas.openxmlformats.org/drawingml/2006/picture">
                <pic:pic>
                  <pic:nvPicPr>
                    <pic:cNvPr id="0" name="review-share.png"/>
                    <pic:cNvPicPr/>
                  </pic:nvPicPr>
                  <pic:blipFill>
                    <a:blip r:embed="rId16"/>
                    <a:stretch>
                      <a:fillRect/>
                    </a:stretch>
                  </pic:blipFill>
                  <pic:spPr>
                    <a:xfrm>
                      <a:off x="0" y="0"/>
                      <a:ext cx="5715000" cy="3892296"/>
                    </a:xfrm>
                    <a:prstGeom prst="rect"/>
                  </pic:spPr>
                </pic:pic>
              </a:graphicData>
            </a:graphic>
          </wp:inline>
        </w:drawing>
      </w:r>
    </w:p>
    <w:p>
      <w:pPr>
        <w:widowControl/>
        <w:spacing w:after="140"/>
        <w:jc w:val="left"/>
      </w:pPr>
      <w:r>
        <w:rPr>
          <w:rFonts w:ascii="Times New Roman" w:hAnsi="Times New Roman" w:eastAsia="Times New Roman"/>
          <w:b w:val="0"/>
          <w:i/>
          <w:color w:val="000000"/>
          <w:sz w:val="20"/>
        </w:rPr>
        <w:t>Figure 5. Factual summary excerpt and patient approval. Source-linked text is a deterministic fixture; approval and recipient selection use the actual API.</w:t>
      </w:r>
    </w:p>
    <w:p>
      <w:pPr>
        <w:keepNext/>
        <w:spacing w:after="60"/>
        <w:jc w:val="center"/>
      </w:pPr>
      <w:r>
        <w:drawing>
          <wp:inline>
            <wp:extent cx="5715000" cy="1600674"/>
            <wp:docPr id="1749116764" name="Picture 1749116764" descr="Current PreConsult interface screenshot or architecture diagram; see adjacent caption for provenance."/>
            <wp:cNvGraphicFramePr>
              <a:graphicFrameLocks noChangeAspect="1"/>
            </wp:cNvGraphicFramePr>
            <a:graphic>
              <a:graphicData uri="http://schemas.openxmlformats.org/drawingml/2006/picture">
                <pic:pic>
                  <pic:nvPicPr>
                    <pic:cNvPr id="0" name="print-07-clinician-submissions.png"/>
                    <pic:cNvPicPr/>
                  </pic:nvPicPr>
                  <pic:blipFill>
                    <a:blip r:embed="rId17"/>
                    <a:stretch>
                      <a:fillRect/>
                    </a:stretch>
                  </pic:blipFill>
                  <pic:spPr>
                    <a:xfrm>
                      <a:off x="0" y="0"/>
                      <a:ext cx="5715000" cy="1600674"/>
                    </a:xfrm>
                    <a:prstGeom prst="rect"/>
                  </pic:spPr>
                </pic:pic>
              </a:graphicData>
            </a:graphic>
          </wp:inline>
        </w:drawing>
      </w:r>
    </w:p>
    <w:p>
      <w:pPr>
        <w:widowControl/>
        <w:spacing w:after="140"/>
        <w:jc w:val="left"/>
      </w:pPr>
      <w:r>
        <w:rPr>
          <w:rFonts w:ascii="Times New Roman" w:hAnsi="Times New Roman" w:eastAsia="Times New Roman"/>
          <w:b w:val="0"/>
          <w:i/>
          <w:color w:val="000000"/>
          <w:sz w:val="20"/>
        </w:rPr>
        <w:t>Figure 6. The selected clinician’s real record list after approval, using fictional accounts. An unassigned doctor cannot access the record.</w:t>
      </w:r>
    </w:p>
    <w:p>
      <w:pPr>
        <w:pStyle w:val="Heading2"/>
        <w:pageBreakBefore/>
        <w:widowControl/>
        <w:jc w:val="left"/>
      </w:pPr>
      <w:r>
        <w:rPr>
          <w:rFonts w:ascii="Times New Roman" w:hAnsi="Times New Roman" w:eastAsia="Times New Roman"/>
          <w:b/>
          <w:i w:val="0"/>
          <w:color w:val="1F3864"/>
          <w:sz w:val="25"/>
        </w:rPr>
        <w:t>6.6 Progression from proposal to delivery</w:t>
      </w:r>
    </w:p>
    <w:p>
      <w:pPr>
        <w:widowControl/>
        <w:jc w:val="both"/>
      </w:pPr>
      <w:r>
        <w:rPr>
          <w:rFonts w:ascii="Times New Roman" w:hAnsi="Times New Roman" w:eastAsia="Times New Roman"/>
          <w:b w:val="0"/>
          <w:i w:val="0"/>
          <w:color w:val="000000"/>
          <w:sz w:val="22"/>
        </w:rPr>
        <w:t>PDF export is generated locally and includes the report, full uploaded images and every page of uploaded PDFs. Access and freshness are checked again at download. Missing or unreadable attachments cause a visible failure rather than silent omission. Withdrawal prevents subsequent application access; it cannot recall a file already downloaded or printed.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1872"/>
        <w:gridCol w:w="3600"/>
        <w:gridCol w:w="3542"/>
      </w:tblGrid>
      <w:tr>
        <w:trPr>
          <w:cantSplit/>
          <w:tblHeader/>
        </w:trPr>
        <w:tc>
          <w:tcPr>
            <w:tcW w:type="dxa" w:w="1872"/>
            <w:vAlign w:val="center"/>
            <w:shd w:fill="D9E2F3"/>
          </w:tcPr>
          <w:p>
            <w:pPr>
              <w:spacing w:after="0" w:line="240" w:lineRule="auto"/>
              <w:jc w:val="left"/>
            </w:pPr>
            <w:r>
              <w:rPr>
                <w:rFonts w:ascii="Times New Roman" w:hAnsi="Times New Roman" w:eastAsia="Times New Roman"/>
                <w:b/>
                <w:i w:val="0"/>
                <w:color w:val="000000"/>
                <w:sz w:val="20"/>
              </w:rPr>
              <w:t>Proposal element</w:t>
            </w:r>
          </w:p>
        </w:tc>
        <w:tc>
          <w:tcPr>
            <w:tcW w:type="dxa" w:w="3600"/>
            <w:vAlign w:val="center"/>
            <w:shd w:fill="D9E2F3"/>
          </w:tcPr>
          <w:p>
            <w:pPr>
              <w:spacing w:after="0" w:line="240" w:lineRule="auto"/>
              <w:jc w:val="left"/>
            </w:pPr>
            <w:r>
              <w:rPr>
                <w:rFonts w:ascii="Times New Roman" w:hAnsi="Times New Roman" w:eastAsia="Times New Roman"/>
                <w:b/>
                <w:i w:val="0"/>
                <w:color w:val="000000"/>
                <w:sz w:val="20"/>
              </w:rPr>
              <w:t>Delivered state</w:t>
            </w:r>
          </w:p>
        </w:tc>
        <w:tc>
          <w:tcPr>
            <w:tcW w:type="dxa" w:w="3542"/>
            <w:vAlign w:val="center"/>
            <w:shd w:fill="D9E2F3"/>
          </w:tcPr>
          <w:p>
            <w:pPr>
              <w:spacing w:after="0" w:line="240" w:lineRule="auto"/>
              <w:jc w:val="left"/>
            </w:pPr>
            <w:r>
              <w:rPr>
                <w:rFonts w:ascii="Times New Roman" w:hAnsi="Times New Roman" w:eastAsia="Times New Roman"/>
                <w:b/>
                <w:i w:val="0"/>
                <w:color w:val="000000"/>
                <w:sz w:val="20"/>
              </w:rPr>
              <w:t>Consequence</w:t>
            </w:r>
          </w:p>
        </w:tc>
      </w:tr>
      <w:tr>
        <w:trPr>
          <w:cantSplit/>
        </w:trPr>
        <w:tc>
          <w:tcPr>
            <w:tcW w:type="dxa" w:w="1872"/>
            <w:vAlign w:val="center"/>
          </w:tcPr>
          <w:p>
            <w:pPr>
              <w:spacing w:after="0" w:line="240" w:lineRule="auto"/>
              <w:jc w:val="left"/>
            </w:pPr>
            <w:r>
              <w:rPr>
                <w:rFonts w:ascii="Times New Roman" w:hAnsi="Times New Roman" w:eastAsia="Times New Roman"/>
                <w:b w:val="0"/>
                <w:i w:val="0"/>
                <w:color w:val="000000"/>
                <w:sz w:val="20"/>
              </w:rPr>
              <w:t>Conversational preparation</w:t>
            </w:r>
          </w:p>
        </w:tc>
        <w:tc>
          <w:tcPr>
            <w:tcW w:type="dxa" w:w="3600"/>
            <w:vAlign w:val="center"/>
          </w:tcPr>
          <w:p>
            <w:pPr>
              <w:spacing w:after="0" w:line="240" w:lineRule="auto"/>
              <w:jc w:val="left"/>
            </w:pPr>
            <w:r>
              <w:rPr>
                <w:rFonts w:ascii="Times New Roman" w:hAnsi="Times New Roman" w:eastAsia="Times New Roman"/>
                <w:b w:val="0"/>
                <w:i w:val="0"/>
                <w:color w:val="000000"/>
                <w:sz w:val="20"/>
              </w:rPr>
              <w:t>Refined to a baseline wizard, custom chat and bounded AI question wizard.</w:t>
            </w:r>
          </w:p>
        </w:tc>
        <w:tc>
          <w:tcPr>
            <w:tcW w:type="dxa" w:w="3542"/>
            <w:vAlign w:val="center"/>
          </w:tcPr>
          <w:p>
            <w:pPr>
              <w:spacing w:after="0" w:line="240" w:lineRule="auto"/>
              <w:jc w:val="left"/>
            </w:pPr>
            <w:r>
              <w:rPr>
                <w:rFonts w:ascii="Times New Roman" w:hAnsi="Times New Roman" w:eastAsia="Times New Roman"/>
                <w:b w:val="0"/>
                <w:i w:val="0"/>
                <w:color w:val="000000"/>
                <w:sz w:val="20"/>
              </w:rPr>
              <w:t>Less repeated entry; actual usability improvement remains unmeasured.</w:t>
            </w:r>
          </w:p>
        </w:tc>
      </w:tr>
      <w:tr>
        <w:trPr>
          <w:cantSplit/>
        </w:trPr>
        <w:tc>
          <w:tcPr>
            <w:tcW w:type="dxa" w:w="1872"/>
            <w:vAlign w:val="center"/>
          </w:tcPr>
          <w:p>
            <w:pPr>
              <w:spacing w:after="0" w:line="240" w:lineRule="auto"/>
              <w:jc w:val="left"/>
            </w:pPr>
            <w:r>
              <w:rPr>
                <w:rFonts w:ascii="Times New Roman" w:hAnsi="Times New Roman" w:eastAsia="Times New Roman"/>
                <w:b w:val="0"/>
                <w:i w:val="0"/>
                <w:color w:val="000000"/>
                <w:sz w:val="20"/>
              </w:rPr>
              <w:t>Weighted coverage and priority</w:t>
            </w:r>
          </w:p>
        </w:tc>
        <w:tc>
          <w:tcPr>
            <w:tcW w:type="dxa" w:w="3600"/>
            <w:vAlign w:val="center"/>
          </w:tcPr>
          <w:p>
            <w:pPr>
              <w:spacing w:after="0" w:line="240" w:lineRule="auto"/>
              <w:jc w:val="left"/>
            </w:pPr>
            <w:r>
              <w:rPr>
                <w:rFonts w:ascii="Times New Roman" w:hAnsi="Times New Roman" w:eastAsia="Times New Roman"/>
                <w:b w:val="0"/>
                <w:i w:val="0"/>
                <w:color w:val="000000"/>
                <w:sz w:val="20"/>
              </w:rPr>
              <w:t>Equal-weight metrics; code filters eligible targets and the model selects the batch.</w:t>
            </w:r>
          </w:p>
        </w:tc>
        <w:tc>
          <w:tcPr>
            <w:tcW w:type="dxa" w:w="3542"/>
            <w:vAlign w:val="center"/>
          </w:tcPr>
          <w:p>
            <w:pPr>
              <w:spacing w:after="0" w:line="240" w:lineRule="auto"/>
              <w:jc w:val="left"/>
            </w:pPr>
            <w:r>
              <w:rPr>
                <w:rFonts w:ascii="Times New Roman" w:hAnsi="Times New Roman" w:eastAsia="Times New Roman"/>
                <w:b w:val="0"/>
                <w:i w:val="0"/>
                <w:color w:val="000000"/>
                <w:sz w:val="20"/>
              </w:rPr>
              <w:t>Transparent completion counts, but not the original weighted priority algorithm.</w:t>
            </w:r>
          </w:p>
        </w:tc>
      </w:tr>
      <w:tr>
        <w:trPr>
          <w:cantSplit/>
        </w:trPr>
        <w:tc>
          <w:tcPr>
            <w:tcW w:type="dxa" w:w="1872"/>
            <w:vAlign w:val="center"/>
          </w:tcPr>
          <w:p>
            <w:pPr>
              <w:spacing w:after="0" w:line="240" w:lineRule="auto"/>
              <w:jc w:val="left"/>
            </w:pPr>
            <w:r>
              <w:rPr>
                <w:rFonts w:ascii="Times New Roman" w:hAnsi="Times New Roman" w:eastAsia="Times New Roman"/>
                <w:b w:val="0"/>
                <w:i w:val="0"/>
                <w:color w:val="000000"/>
                <w:sz w:val="20"/>
              </w:rPr>
              <w:t>Source-cited summary and approval</w:t>
            </w:r>
          </w:p>
        </w:tc>
        <w:tc>
          <w:tcPr>
            <w:tcW w:type="dxa" w:w="3600"/>
            <w:vAlign w:val="center"/>
          </w:tcPr>
          <w:p>
            <w:pPr>
              <w:spacing w:after="0" w:line="240" w:lineRule="auto"/>
              <w:jc w:val="left"/>
            </w:pPr>
            <w:r>
              <w:rPr>
                <w:rFonts w:ascii="Times New Roman" w:hAnsi="Times New Roman" w:eastAsia="Times New Roman"/>
                <w:b w:val="0"/>
                <w:i w:val="0"/>
                <w:color w:val="000000"/>
                <w:sz w:val="20"/>
              </w:rPr>
              <w:t>Implemented with current-source validation, correction and version-bound sharing.</w:t>
            </w:r>
          </w:p>
        </w:tc>
        <w:tc>
          <w:tcPr>
            <w:tcW w:type="dxa" w:w="3542"/>
            <w:vAlign w:val="center"/>
          </w:tcPr>
          <w:p>
            <w:pPr>
              <w:spacing w:after="0" w:line="240" w:lineRule="auto"/>
              <w:jc w:val="left"/>
            </w:pPr>
            <w:r>
              <w:rPr>
                <w:rFonts w:ascii="Times New Roman" w:hAnsi="Times New Roman" w:eastAsia="Times New Roman"/>
                <w:b w:val="0"/>
                <w:i w:val="0"/>
                <w:color w:val="000000"/>
                <w:sz w:val="20"/>
              </w:rPr>
              <w:t>Deterministic checks support handoff control; semantic fidelity remains imperfect.</w:t>
            </w:r>
          </w:p>
        </w:tc>
      </w:tr>
      <w:tr>
        <w:trPr>
          <w:cantSplit/>
        </w:trPr>
        <w:tc>
          <w:tcPr>
            <w:tcW w:type="dxa" w:w="1872"/>
            <w:vAlign w:val="center"/>
          </w:tcPr>
          <w:p>
            <w:pPr>
              <w:spacing w:after="0" w:line="240" w:lineRule="auto"/>
              <w:jc w:val="left"/>
            </w:pPr>
            <w:r>
              <w:rPr>
                <w:rFonts w:ascii="Times New Roman" w:hAnsi="Times New Roman" w:eastAsia="Times New Roman"/>
                <w:b w:val="0"/>
                <w:i w:val="0"/>
                <w:color w:val="000000"/>
                <w:sz w:val="20"/>
              </w:rPr>
              <w:t>Clinician summary access</w:t>
            </w:r>
          </w:p>
        </w:tc>
        <w:tc>
          <w:tcPr>
            <w:tcW w:type="dxa" w:w="3600"/>
            <w:vAlign w:val="center"/>
          </w:tcPr>
          <w:p>
            <w:pPr>
              <w:spacing w:after="0" w:line="240" w:lineRule="auto"/>
              <w:jc w:val="left"/>
            </w:pPr>
            <w:r>
              <w:rPr>
                <w:rFonts w:ascii="Times New Roman" w:hAnsi="Times New Roman" w:eastAsia="Times New Roman"/>
                <w:b w:val="0"/>
                <w:i w:val="0"/>
                <w:color w:val="000000"/>
                <w:sz w:val="20"/>
              </w:rPr>
              <w:t>Extended to a recipient-specific dashboard and complete PDF export.</w:t>
            </w:r>
          </w:p>
        </w:tc>
        <w:tc>
          <w:tcPr>
            <w:tcW w:type="dxa" w:w="3542"/>
            <w:vAlign w:val="center"/>
          </w:tcPr>
          <w:p>
            <w:pPr>
              <w:spacing w:after="0" w:line="240" w:lineRule="auto"/>
              <w:jc w:val="left"/>
            </w:pPr>
            <w:r>
              <w:rPr>
                <w:rFonts w:ascii="Times New Roman" w:hAnsi="Times New Roman" w:eastAsia="Times New Roman"/>
                <w:b w:val="0"/>
                <w:i w:val="0"/>
                <w:color w:val="000000"/>
                <w:sz w:val="20"/>
              </w:rPr>
              <w:t>Supports review and attachments within the same preparation task.</w:t>
            </w:r>
          </w:p>
        </w:tc>
      </w:tr>
      <w:tr>
        <w:trPr>
          <w:cantSplit/>
        </w:trPr>
        <w:tc>
          <w:tcPr>
            <w:tcW w:type="dxa" w:w="1872"/>
            <w:vAlign w:val="center"/>
          </w:tcPr>
          <w:p>
            <w:pPr>
              <w:spacing w:after="0" w:line="240" w:lineRule="auto"/>
              <w:jc w:val="left"/>
            </w:pPr>
            <w:r>
              <w:rPr>
                <w:rFonts w:ascii="Times New Roman" w:hAnsi="Times New Roman" w:eastAsia="Times New Roman"/>
                <w:b w:val="0"/>
                <w:i w:val="0"/>
                <w:color w:val="000000"/>
                <w:sz w:val="20"/>
              </w:rPr>
              <w:t>Non-diagnostic core</w:t>
            </w:r>
          </w:p>
        </w:tc>
        <w:tc>
          <w:tcPr>
            <w:tcW w:type="dxa" w:w="3600"/>
            <w:vAlign w:val="center"/>
          </w:tcPr>
          <w:p>
            <w:pPr>
              <w:spacing w:after="0" w:line="240" w:lineRule="auto"/>
              <w:jc w:val="left"/>
            </w:pPr>
            <w:r>
              <w:rPr>
                <w:rFonts w:ascii="Times New Roman" w:hAnsi="Times New Roman" w:eastAsia="Times New Roman"/>
                <w:b w:val="0"/>
                <w:i w:val="0"/>
                <w:color w:val="000000"/>
                <w:sz w:val="20"/>
              </w:rPr>
              <w:t>Factual core retained; optional assessment adds possibilities and care guidance.</w:t>
            </w:r>
          </w:p>
        </w:tc>
        <w:tc>
          <w:tcPr>
            <w:tcW w:type="dxa" w:w="3542"/>
            <w:vAlign w:val="center"/>
          </w:tcPr>
          <w:p>
            <w:pPr>
              <w:spacing w:after="0" w:line="240" w:lineRule="auto"/>
              <w:jc w:val="left"/>
            </w:pPr>
            <w:r>
              <w:rPr>
                <w:rFonts w:ascii="Times New Roman" w:hAnsi="Times New Roman" w:eastAsia="Times New Roman"/>
                <w:b w:val="0"/>
                <w:i w:val="0"/>
                <w:color w:val="000000"/>
                <w:sz w:val="20"/>
              </w:rPr>
              <w:t>Functional scope extension with additional safety and evaluation obligations.</w:t>
            </w:r>
          </w:p>
        </w:tc>
      </w:tr>
      <w:tr>
        <w:trPr>
          <w:cantSplit/>
        </w:trPr>
        <w:tc>
          <w:tcPr>
            <w:tcW w:type="dxa" w:w="1872"/>
            <w:vAlign w:val="center"/>
          </w:tcPr>
          <w:p>
            <w:pPr>
              <w:spacing w:after="0" w:line="240" w:lineRule="auto"/>
              <w:jc w:val="left"/>
            </w:pPr>
            <w:r>
              <w:rPr>
                <w:rFonts w:ascii="Times New Roman" w:hAnsi="Times New Roman" w:eastAsia="Times New Roman"/>
                <w:b w:val="0"/>
                <w:i w:val="0"/>
                <w:color w:val="000000"/>
                <w:sz w:val="20"/>
              </w:rPr>
              <w:t>Quality and efficiency benchmark</w:t>
            </w:r>
          </w:p>
        </w:tc>
        <w:tc>
          <w:tcPr>
            <w:tcW w:type="dxa" w:w="3600"/>
            <w:vAlign w:val="center"/>
          </w:tcPr>
          <w:p>
            <w:pPr>
              <w:spacing w:after="0" w:line="240" w:lineRule="auto"/>
              <w:jc w:val="left"/>
            </w:pPr>
            <w:r>
              <w:rPr>
                <w:rFonts w:ascii="Times New Roman" w:hAnsi="Times New Roman" w:eastAsia="Times New Roman"/>
                <w:b w:val="0"/>
                <w:i w:val="0"/>
                <w:color w:val="000000"/>
                <w:sz w:val="20"/>
              </w:rPr>
              <w:t>Regression suites and controlled validator audit completed.</w:t>
            </w:r>
          </w:p>
        </w:tc>
        <w:tc>
          <w:tcPr>
            <w:tcW w:type="dxa" w:w="3542"/>
            <w:vAlign w:val="center"/>
          </w:tcPr>
          <w:p>
            <w:pPr>
              <w:spacing w:after="0" w:line="240" w:lineRule="auto"/>
              <w:jc w:val="left"/>
            </w:pPr>
            <w:r>
              <w:rPr>
                <w:rFonts w:ascii="Times New Roman" w:hAnsi="Times New Roman" w:eastAsia="Times New Roman"/>
                <w:b w:val="0"/>
                <w:i w:val="0"/>
                <w:color w:val="000000"/>
                <w:sz w:val="20"/>
              </w:rPr>
              <w:t>The proposed comparative model study and latency/cost targets remain unverified.</w:t>
            </w:r>
          </w:p>
        </w:tc>
      </w:tr>
    </w:tbl>
    <w:p>
      <w:pPr>
        <w:widowControl/>
        <w:spacing w:after="140"/>
        <w:jc w:val="left"/>
      </w:pPr>
      <w:r>
        <w:rPr>
          <w:rFonts w:ascii="Times New Roman" w:hAnsi="Times New Roman" w:eastAsia="Times New Roman"/>
          <w:b w:val="0"/>
          <w:i/>
          <w:color w:val="000000"/>
          <w:sz w:val="20"/>
        </w:rPr>
        <w:t>Table 4. Delivered changes and omissions relative to the proposal [2].</w:t>
      </w:r>
    </w:p>
    <w:p>
      <w:pPr>
        <w:keepNext/>
        <w:spacing w:after="60"/>
        <w:jc w:val="center"/>
      </w:pPr>
      <w:r>
        <w:drawing>
          <wp:inline>
            <wp:extent cx="5673629" cy="2926080"/>
            <wp:docPr id="1749116765" name="Picture 1749116765" descr="Current PreConsult interface screenshot or architecture diagram; see adjacent caption for provenance."/>
            <wp:cNvGraphicFramePr>
              <a:graphicFrameLocks noChangeAspect="1"/>
            </wp:cNvGraphicFramePr>
            <a:graphic>
              <a:graphicData uri="http://schemas.openxmlformats.org/drawingml/2006/picture">
                <pic:pic>
                  <pic:nvPicPr>
                    <pic:cNvPr id="0" name="assessment-excerpt.png"/>
                    <pic:cNvPicPr/>
                  </pic:nvPicPr>
                  <pic:blipFill>
                    <a:blip r:embed="rId18"/>
                    <a:stretch>
                      <a:fillRect/>
                    </a:stretch>
                  </pic:blipFill>
                  <pic:spPr>
                    <a:xfrm>
                      <a:off x="0" y="0"/>
                      <a:ext cx="5673629" cy="2926080"/>
                    </a:xfrm>
                    <a:prstGeom prst="rect"/>
                  </pic:spPr>
                </pic:pic>
              </a:graphicData>
            </a:graphic>
          </wp:inline>
        </w:drawing>
      </w:r>
    </w:p>
    <w:p>
      <w:pPr>
        <w:widowControl/>
        <w:spacing w:after="140"/>
        <w:jc w:val="left"/>
      </w:pPr>
      <w:r>
        <w:rPr>
          <w:rFonts w:ascii="Times New Roman" w:hAnsi="Times New Roman" w:eastAsia="Times New Roman"/>
          <w:b w:val="0"/>
          <w:i/>
          <w:color w:val="000000"/>
          <w:sz w:val="20"/>
        </w:rPr>
        <w:t>Figure 7. Optional assessment header and uncertainty statement, shown as an excerpt. The current UI explicitly separates a provisional assessment from a confirmed diagnosis. Displayed prose is a deterministic fixture.</w:t>
      </w:r>
    </w:p>
    <w:p>
      <w:pPr>
        <w:widowControl/>
        <w:jc w:val="both"/>
      </w:pPr>
      <w:r>
        <w:rPr>
          <w:rFonts w:ascii="Times New Roman" w:hAnsi="Times New Roman" w:eastAsia="Times New Roman"/>
          <w:b w:val="0"/>
          <w:i w:val="0"/>
          <w:color w:val="000000"/>
          <w:sz w:val="22"/>
        </w:rPr>
        <w:t>The optional report is an additional output, not evidence that the intake workflow can diagnose illness. The same source/version safeguards do not resolve its clinical accuracy; it must be evaluated separately before practical use.</w:t>
      </w:r>
    </w:p>
    <w:p>
      <w:pPr>
        <w:pStyle w:val="Heading1"/>
        <w:pageBreakBefore/>
        <w:widowControl/>
        <w:jc w:val="left"/>
      </w:pPr>
      <w:r>
        <w:rPr>
          <w:rFonts w:ascii="Times New Roman" w:hAnsi="Times New Roman" w:eastAsia="Times New Roman"/>
          <w:b/>
          <w:i w:val="0"/>
          <w:color w:val="1F3864"/>
          <w:sz w:val="30"/>
        </w:rPr>
        <w:t>7 Evaluation</w:t>
      </w:r>
    </w:p>
    <w:p>
      <w:pPr>
        <w:pStyle w:val="Heading2"/>
        <w:widowControl/>
        <w:jc w:val="left"/>
      </w:pPr>
      <w:r>
        <w:rPr>
          <w:rFonts w:ascii="Times New Roman" w:hAnsi="Times New Roman" w:eastAsia="Times New Roman"/>
          <w:b/>
          <w:i w:val="0"/>
          <w:color w:val="1F3864"/>
          <w:sz w:val="25"/>
        </w:rPr>
        <w:t>7.1 Procedure and evidence boundaries</w:t>
      </w:r>
    </w:p>
    <w:p>
      <w:pPr>
        <w:widowControl/>
        <w:jc w:val="both"/>
      </w:pPr>
      <w:r>
        <w:rPr>
          <w:rFonts w:ascii="Times New Roman" w:hAnsi="Times New Roman" w:eastAsia="Times New Roman"/>
          <w:b w:val="0"/>
          <w:i w:val="0"/>
          <w:color w:val="000000"/>
          <w:sz w:val="22"/>
        </w:rPr>
        <w:t>Evaluation used the frozen integration source, isolated synthetic data and controlled service doubles. Backend product tests exercise state, profiles, language handling, planning, synthesis validation, authorisation, sharing, files, PDF export and concurrency. Frontend tests check application behaviour and pure UI logic. A fresh browser run exercised the built client with a real isolated API; model/email calls were disabled and voice responses simulated. These are engineering checks, not independent clinical judgments.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1944"/>
        <w:gridCol w:w="3960"/>
        <w:gridCol w:w="3110"/>
      </w:tblGrid>
      <w:tr>
        <w:trPr>
          <w:cantSplit/>
          <w:tblHeader/>
        </w:trPr>
        <w:tc>
          <w:tcPr>
            <w:tcW w:type="dxa" w:w="1944"/>
            <w:vAlign w:val="center"/>
            <w:shd w:fill="D9E2F3"/>
          </w:tcPr>
          <w:p>
            <w:pPr>
              <w:spacing w:after="0" w:line="240" w:lineRule="auto"/>
              <w:jc w:val="left"/>
            </w:pPr>
            <w:r>
              <w:rPr>
                <w:rFonts w:ascii="Times New Roman" w:hAnsi="Times New Roman" w:eastAsia="Times New Roman"/>
                <w:b/>
                <w:i w:val="0"/>
                <w:color w:val="000000"/>
                <w:sz w:val="20"/>
              </w:rPr>
              <w:t>Evidence</w:t>
            </w:r>
          </w:p>
        </w:tc>
        <w:tc>
          <w:tcPr>
            <w:tcW w:type="dxa" w:w="3960"/>
            <w:vAlign w:val="center"/>
            <w:shd w:fill="D9E2F3"/>
          </w:tcPr>
          <w:p>
            <w:pPr>
              <w:spacing w:after="0" w:line="240" w:lineRule="auto"/>
              <w:jc w:val="left"/>
            </w:pPr>
            <w:r>
              <w:rPr>
                <w:rFonts w:ascii="Times New Roman" w:hAnsi="Times New Roman" w:eastAsia="Times New Roman"/>
                <w:b/>
                <w:i w:val="0"/>
                <w:color w:val="000000"/>
                <w:sz w:val="20"/>
              </w:rPr>
              <w:t>Observed result</w:t>
            </w:r>
          </w:p>
        </w:tc>
        <w:tc>
          <w:tcPr>
            <w:tcW w:type="dxa" w:w="3110"/>
            <w:vAlign w:val="center"/>
            <w:shd w:fill="D9E2F3"/>
          </w:tcPr>
          <w:p>
            <w:pPr>
              <w:spacing w:after="0" w:line="240" w:lineRule="auto"/>
              <w:jc w:val="left"/>
            </w:pPr>
            <w:r>
              <w:rPr>
                <w:rFonts w:ascii="Times New Roman" w:hAnsi="Times New Roman" w:eastAsia="Times New Roman"/>
                <w:b/>
                <w:i w:val="0"/>
                <w:color w:val="000000"/>
                <w:sz w:val="20"/>
              </w:rPr>
              <w:t>Interpretation</w:t>
            </w:r>
          </w:p>
        </w:tc>
      </w:tr>
      <w:tr>
        <w:trPr>
          <w:cantSplit/>
        </w:trPr>
        <w:tc>
          <w:tcPr>
            <w:tcW w:type="dxa" w:w="1944"/>
            <w:vAlign w:val="center"/>
          </w:tcPr>
          <w:p>
            <w:pPr>
              <w:spacing w:after="0" w:line="240" w:lineRule="auto"/>
              <w:jc w:val="left"/>
            </w:pPr>
            <w:r>
              <w:rPr>
                <w:rFonts w:ascii="Times New Roman" w:hAnsi="Times New Roman" w:eastAsia="Times New Roman"/>
                <w:b w:val="0"/>
                <w:i w:val="0"/>
                <w:color w:val="000000"/>
                <w:sz w:val="20"/>
              </w:rPr>
              <w:t>Backend product suite</w:t>
            </w:r>
          </w:p>
        </w:tc>
        <w:tc>
          <w:tcPr>
            <w:tcW w:type="dxa" w:w="3960"/>
            <w:vAlign w:val="center"/>
          </w:tcPr>
          <w:p>
            <w:pPr>
              <w:spacing w:after="0" w:line="240" w:lineRule="auto"/>
              <w:jc w:val="left"/>
            </w:pPr>
            <w:r>
              <w:rPr>
                <w:rFonts w:ascii="Times New Roman" w:hAnsi="Times New Roman" w:eastAsia="Times New Roman"/>
                <w:b w:val="0"/>
                <w:i w:val="0"/>
                <w:color w:val="000000"/>
                <w:sz w:val="20"/>
              </w:rPr>
              <w:t>605 passed; 28.44 s; two dependency deprecation warnings.</w:t>
            </w:r>
          </w:p>
        </w:tc>
        <w:tc>
          <w:tcPr>
            <w:tcW w:type="dxa" w:w="3110"/>
            <w:vAlign w:val="center"/>
          </w:tcPr>
          <w:p>
            <w:pPr>
              <w:spacing w:after="0" w:line="240" w:lineRule="auto"/>
              <w:jc w:val="left"/>
            </w:pPr>
            <w:r>
              <w:rPr>
                <w:rFonts w:ascii="Times New Roman" w:hAnsi="Times New Roman" w:eastAsia="Times New Roman"/>
                <w:b w:val="0"/>
                <w:i w:val="0"/>
                <w:color w:val="000000"/>
                <w:sz w:val="20"/>
              </w:rPr>
              <w:t>Tested backend contracts hold in this environment.</w:t>
            </w:r>
          </w:p>
        </w:tc>
      </w:tr>
      <w:tr>
        <w:trPr>
          <w:cantSplit/>
        </w:trPr>
        <w:tc>
          <w:tcPr>
            <w:tcW w:type="dxa" w:w="1944"/>
            <w:vAlign w:val="center"/>
          </w:tcPr>
          <w:p>
            <w:pPr>
              <w:spacing w:after="0" w:line="240" w:lineRule="auto"/>
              <w:jc w:val="left"/>
            </w:pPr>
            <w:r>
              <w:rPr>
                <w:rFonts w:ascii="Times New Roman" w:hAnsi="Times New Roman" w:eastAsia="Times New Roman"/>
                <w:b w:val="0"/>
                <w:i w:val="0"/>
                <w:color w:val="000000"/>
                <w:sz w:val="20"/>
              </w:rPr>
              <w:t>Frontend suite</w:t>
            </w:r>
          </w:p>
        </w:tc>
        <w:tc>
          <w:tcPr>
            <w:tcW w:type="dxa" w:w="3960"/>
            <w:vAlign w:val="center"/>
          </w:tcPr>
          <w:p>
            <w:pPr>
              <w:spacing w:after="0" w:line="240" w:lineRule="auto"/>
              <w:jc w:val="left"/>
            </w:pPr>
            <w:r>
              <w:rPr>
                <w:rFonts w:ascii="Times New Roman" w:hAnsi="Times New Roman" w:eastAsia="Times New Roman"/>
                <w:b w:val="0"/>
                <w:i w:val="0"/>
                <w:color w:val="000000"/>
                <w:sz w:val="20"/>
              </w:rPr>
              <w:t>100 passed; zero failed/skipped; 842.873 ms.</w:t>
            </w:r>
          </w:p>
        </w:tc>
        <w:tc>
          <w:tcPr>
            <w:tcW w:type="dxa" w:w="3110"/>
            <w:vAlign w:val="center"/>
          </w:tcPr>
          <w:p>
            <w:pPr>
              <w:spacing w:after="0" w:line="240" w:lineRule="auto"/>
              <w:jc w:val="left"/>
            </w:pPr>
            <w:r>
              <w:rPr>
                <w:rFonts w:ascii="Times New Roman" w:hAnsi="Times New Roman" w:eastAsia="Times New Roman"/>
                <w:b w:val="0"/>
                <w:i w:val="0"/>
                <w:color w:val="000000"/>
                <w:sz w:val="20"/>
              </w:rPr>
              <w:t>Tested client behaviours hold.</w:t>
            </w:r>
          </w:p>
        </w:tc>
      </w:tr>
      <w:tr>
        <w:trPr>
          <w:cantSplit/>
        </w:trPr>
        <w:tc>
          <w:tcPr>
            <w:tcW w:type="dxa" w:w="1944"/>
            <w:vAlign w:val="center"/>
          </w:tcPr>
          <w:p>
            <w:pPr>
              <w:spacing w:after="0" w:line="240" w:lineRule="auto"/>
              <w:jc w:val="left"/>
            </w:pPr>
            <w:r>
              <w:rPr>
                <w:rFonts w:ascii="Times New Roman" w:hAnsi="Times New Roman" w:eastAsia="Times New Roman"/>
                <w:b w:val="0"/>
                <w:i w:val="0"/>
                <w:color w:val="000000"/>
                <w:sz w:val="20"/>
              </w:rPr>
              <w:t>Browser acceptance</w:t>
            </w:r>
          </w:p>
        </w:tc>
        <w:tc>
          <w:tcPr>
            <w:tcW w:type="dxa" w:w="3960"/>
            <w:vAlign w:val="center"/>
          </w:tcPr>
          <w:p>
            <w:pPr>
              <w:spacing w:after="0" w:line="240" w:lineRule="auto"/>
              <w:jc w:val="left"/>
            </w:pPr>
            <w:r>
              <w:rPr>
                <w:rFonts w:ascii="Times New Roman" w:hAnsi="Times New Roman" w:eastAsia="Times New Roman"/>
                <w:b w:val="0"/>
                <w:i w:val="0"/>
                <w:color w:val="000000"/>
                <w:sz w:val="20"/>
              </w:rPr>
              <w:t>34 checks passed; no uncaught errors; five axe scans found no serious/critical issues.</w:t>
            </w:r>
          </w:p>
        </w:tc>
        <w:tc>
          <w:tcPr>
            <w:tcW w:type="dxa" w:w="3110"/>
            <w:vAlign w:val="center"/>
          </w:tcPr>
          <w:p>
            <w:pPr>
              <w:spacing w:after="0" w:line="240" w:lineRule="auto"/>
              <w:jc w:val="left"/>
            </w:pPr>
            <w:r>
              <w:rPr>
                <w:rFonts w:ascii="Times New Roman" w:hAnsi="Times New Roman" w:eastAsia="Times New Roman"/>
                <w:b w:val="0"/>
                <w:i w:val="0"/>
                <w:color w:val="000000"/>
                <w:sz w:val="20"/>
              </w:rPr>
              <w:t>Selected desktop/mobile journeys and local accessibility checks.</w:t>
            </w:r>
          </w:p>
        </w:tc>
      </w:tr>
      <w:tr>
        <w:trPr>
          <w:cantSplit/>
        </w:trPr>
        <w:tc>
          <w:tcPr>
            <w:tcW w:type="dxa" w:w="1944"/>
            <w:vAlign w:val="center"/>
          </w:tcPr>
          <w:p>
            <w:pPr>
              <w:spacing w:after="0" w:line="240" w:lineRule="auto"/>
              <w:jc w:val="left"/>
            </w:pPr>
            <w:r>
              <w:rPr>
                <w:rFonts w:ascii="Times New Roman" w:hAnsi="Times New Roman" w:eastAsia="Times New Roman"/>
                <w:b w:val="0"/>
                <w:i w:val="0"/>
                <w:color w:val="000000"/>
                <w:sz w:val="20"/>
              </w:rPr>
              <w:t>Validator comparison</w:t>
            </w:r>
          </w:p>
        </w:tc>
        <w:tc>
          <w:tcPr>
            <w:tcW w:type="dxa" w:w="3960"/>
            <w:vAlign w:val="center"/>
          </w:tcPr>
          <w:p>
            <w:pPr>
              <w:spacing w:after="0" w:line="240" w:lineRule="auto"/>
              <w:jc w:val="left"/>
            </w:pPr>
            <w:r>
              <w:rPr>
                <w:rFonts w:ascii="Times New Roman" w:hAnsi="Times New Roman" w:eastAsia="Times New Roman"/>
                <w:b w:val="0"/>
                <w:i w:val="0"/>
                <w:color w:val="000000"/>
                <w:sz w:val="20"/>
              </w:rPr>
              <w:t>5/5 valid controls accepted; 10/10 targeted faults rejected; 1 semantic fault accepted.</w:t>
            </w:r>
          </w:p>
        </w:tc>
        <w:tc>
          <w:tcPr>
            <w:tcW w:type="dxa" w:w="3110"/>
            <w:vAlign w:val="center"/>
          </w:tcPr>
          <w:p>
            <w:pPr>
              <w:spacing w:after="0" w:line="240" w:lineRule="auto"/>
              <w:jc w:val="left"/>
            </w:pPr>
            <w:r>
              <w:rPr>
                <w:rFonts w:ascii="Times New Roman" w:hAnsi="Times New Roman" w:eastAsia="Times New Roman"/>
                <w:b w:val="0"/>
                <w:i w:val="0"/>
                <w:color w:val="000000"/>
                <w:sz w:val="20"/>
              </w:rPr>
              <w:t>Value and limit of added validation over schema alone.</w:t>
            </w:r>
          </w:p>
        </w:tc>
      </w:tr>
    </w:tbl>
    <w:p>
      <w:pPr>
        <w:widowControl/>
        <w:spacing w:after="140"/>
        <w:jc w:val="left"/>
      </w:pPr>
      <w:r>
        <w:rPr>
          <w:rFonts w:ascii="Times New Roman" w:hAnsi="Times New Roman" w:eastAsia="Times New Roman"/>
          <w:b w:val="0"/>
          <w:i/>
          <w:color w:val="000000"/>
          <w:sz w:val="20"/>
        </w:rPr>
        <w:t>Table 5. Fresh results at commit 91a8543 on 21 October 2026. Suite duration is not user-facing model latency; axe scans are not a full accessibility audit.</w:t>
      </w:r>
    </w:p>
    <w:p>
      <w:pPr>
        <w:pStyle w:val="Heading2"/>
        <w:widowControl/>
        <w:jc w:val="left"/>
      </w:pPr>
      <w:r>
        <w:rPr>
          <w:rFonts w:ascii="Times New Roman" w:hAnsi="Times New Roman" w:eastAsia="Times New Roman"/>
          <w:b/>
          <w:i w:val="0"/>
          <w:color w:val="1F3864"/>
          <w:sz w:val="25"/>
        </w:rPr>
        <w:t>7.2 Baseline and controlled fault audit</w:t>
      </w:r>
    </w:p>
    <w:p>
      <w:pPr>
        <w:widowControl/>
        <w:jc w:val="both"/>
      </w:pPr>
      <w:r>
        <w:rPr>
          <w:rFonts w:ascii="Times New Roman" w:hAnsi="Times New Roman" w:eastAsia="Times New Roman"/>
          <w:b w:val="0"/>
          <w:i w:val="0"/>
          <w:color w:val="000000"/>
          <w:sz w:val="22"/>
        </w:rPr>
        <w:t>We compared two acceptance policies on the same 16 hand-authored synthesis objects: V0 validates only the strict JSON schema; V1 applies the production synthesis guards as well. The set contains five valid controls, ten deliberately targeted faults and one semantic limitation probe. Each object is evaluated once by both policies; there are no model calls or stochastic repetitions. Metrics are accepted controls, rejected targeted faults and accepted limitation probes. Appendix C records the cases and construction.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3816"/>
        <w:gridCol w:w="576"/>
        <w:gridCol w:w="2160"/>
        <w:gridCol w:w="2462"/>
      </w:tblGrid>
      <w:tr>
        <w:trPr>
          <w:cantSplit/>
          <w:tblHeader/>
        </w:trPr>
        <w:tc>
          <w:tcPr>
            <w:tcW w:type="dxa" w:w="3816"/>
            <w:vAlign w:val="center"/>
            <w:shd w:fill="D9E2F3"/>
          </w:tcPr>
          <w:p>
            <w:pPr>
              <w:spacing w:after="0" w:line="240" w:lineRule="auto"/>
              <w:jc w:val="left"/>
            </w:pPr>
            <w:r>
              <w:rPr>
                <w:rFonts w:ascii="Times New Roman" w:hAnsi="Times New Roman" w:eastAsia="Times New Roman"/>
                <w:b/>
                <w:i w:val="0"/>
                <w:color w:val="000000"/>
                <w:sz w:val="20"/>
              </w:rPr>
              <w:t>Case group</w:t>
            </w:r>
          </w:p>
        </w:tc>
        <w:tc>
          <w:tcPr>
            <w:tcW w:type="dxa" w:w="576"/>
            <w:vAlign w:val="center"/>
            <w:shd w:fill="D9E2F3"/>
          </w:tcPr>
          <w:p>
            <w:pPr>
              <w:spacing w:after="0" w:line="240" w:lineRule="auto"/>
              <w:jc w:val="left"/>
            </w:pPr>
            <w:r>
              <w:rPr>
                <w:rFonts w:ascii="Times New Roman" w:hAnsi="Times New Roman" w:eastAsia="Times New Roman"/>
                <w:b/>
                <w:i w:val="0"/>
                <w:color w:val="000000"/>
                <w:sz w:val="20"/>
              </w:rPr>
              <w:t>n</w:t>
            </w:r>
          </w:p>
        </w:tc>
        <w:tc>
          <w:tcPr>
            <w:tcW w:type="dxa" w:w="2160"/>
            <w:vAlign w:val="center"/>
            <w:shd w:fill="D9E2F3"/>
          </w:tcPr>
          <w:p>
            <w:pPr>
              <w:spacing w:after="0" w:line="240" w:lineRule="auto"/>
              <w:jc w:val="left"/>
            </w:pPr>
            <w:r>
              <w:rPr>
                <w:rFonts w:ascii="Times New Roman" w:hAnsi="Times New Roman" w:eastAsia="Times New Roman"/>
                <w:b/>
                <w:i w:val="0"/>
                <w:color w:val="000000"/>
                <w:sz w:val="20"/>
              </w:rPr>
              <w:t>V0 schema only</w:t>
            </w:r>
          </w:p>
        </w:tc>
        <w:tc>
          <w:tcPr>
            <w:tcW w:type="dxa" w:w="2462"/>
            <w:vAlign w:val="center"/>
            <w:shd w:fill="D9E2F3"/>
          </w:tcPr>
          <w:p>
            <w:pPr>
              <w:spacing w:after="0" w:line="240" w:lineRule="auto"/>
              <w:jc w:val="left"/>
            </w:pPr>
            <w:r>
              <w:rPr>
                <w:rFonts w:ascii="Times New Roman" w:hAnsi="Times New Roman" w:eastAsia="Times New Roman"/>
                <w:b/>
                <w:i w:val="0"/>
                <w:color w:val="000000"/>
                <w:sz w:val="20"/>
              </w:rPr>
              <w:t>V1 schema and guards</w:t>
            </w:r>
          </w:p>
        </w:tc>
      </w:tr>
      <w:tr>
        <w:trPr>
          <w:cantSplit/>
        </w:trPr>
        <w:tc>
          <w:tcPr>
            <w:tcW w:type="dxa" w:w="3816"/>
            <w:vAlign w:val="center"/>
          </w:tcPr>
          <w:p>
            <w:pPr>
              <w:spacing w:after="0" w:line="240" w:lineRule="auto"/>
              <w:jc w:val="left"/>
            </w:pPr>
            <w:r>
              <w:rPr>
                <w:rFonts w:ascii="Times New Roman" w:hAnsi="Times New Roman" w:eastAsia="Times New Roman"/>
                <w:b w:val="0"/>
                <w:i w:val="0"/>
                <w:color w:val="000000"/>
                <w:sz w:val="20"/>
              </w:rPr>
              <w:t>Valid controls accepted</w:t>
            </w:r>
          </w:p>
        </w:tc>
        <w:tc>
          <w:tcPr>
            <w:tcW w:type="dxa" w:w="576"/>
            <w:vAlign w:val="center"/>
          </w:tcPr>
          <w:p>
            <w:pPr>
              <w:spacing w:after="0" w:line="240" w:lineRule="auto"/>
              <w:jc w:val="left"/>
            </w:pPr>
            <w:r>
              <w:rPr>
                <w:rFonts w:ascii="Times New Roman" w:hAnsi="Times New Roman" w:eastAsia="Times New Roman"/>
                <w:b w:val="0"/>
                <w:i w:val="0"/>
                <w:color w:val="000000"/>
                <w:sz w:val="20"/>
              </w:rPr>
              <w:t>5</w:t>
            </w:r>
          </w:p>
        </w:tc>
        <w:tc>
          <w:tcPr>
            <w:tcW w:type="dxa" w:w="2160"/>
            <w:vAlign w:val="center"/>
          </w:tcPr>
          <w:p>
            <w:pPr>
              <w:spacing w:after="0" w:line="240" w:lineRule="auto"/>
              <w:jc w:val="left"/>
            </w:pPr>
            <w:r>
              <w:rPr>
                <w:rFonts w:ascii="Times New Roman" w:hAnsi="Times New Roman" w:eastAsia="Times New Roman"/>
                <w:b w:val="0"/>
                <w:i w:val="0"/>
                <w:color w:val="000000"/>
                <w:sz w:val="20"/>
              </w:rPr>
              <w:t>5</w:t>
            </w:r>
          </w:p>
        </w:tc>
        <w:tc>
          <w:tcPr>
            <w:tcW w:type="dxa" w:w="2462"/>
            <w:vAlign w:val="center"/>
          </w:tcPr>
          <w:p>
            <w:pPr>
              <w:spacing w:after="0" w:line="240" w:lineRule="auto"/>
              <w:jc w:val="left"/>
            </w:pPr>
            <w:r>
              <w:rPr>
                <w:rFonts w:ascii="Times New Roman" w:hAnsi="Times New Roman" w:eastAsia="Times New Roman"/>
                <w:b w:val="0"/>
                <w:i w:val="0"/>
                <w:color w:val="000000"/>
                <w:sz w:val="20"/>
              </w:rPr>
              <w:t>5</w:t>
            </w:r>
          </w:p>
        </w:tc>
      </w:tr>
      <w:tr>
        <w:trPr>
          <w:cantSplit/>
        </w:trPr>
        <w:tc>
          <w:tcPr>
            <w:tcW w:type="dxa" w:w="3816"/>
            <w:vAlign w:val="center"/>
          </w:tcPr>
          <w:p>
            <w:pPr>
              <w:spacing w:after="0" w:line="240" w:lineRule="auto"/>
              <w:jc w:val="left"/>
            </w:pPr>
            <w:r>
              <w:rPr>
                <w:rFonts w:ascii="Times New Roman" w:hAnsi="Times New Roman" w:eastAsia="Times New Roman"/>
                <w:b w:val="0"/>
                <w:i w:val="0"/>
                <w:color w:val="000000"/>
                <w:sz w:val="20"/>
              </w:rPr>
              <w:t>Targeted faults rejected</w:t>
            </w:r>
          </w:p>
        </w:tc>
        <w:tc>
          <w:tcPr>
            <w:tcW w:type="dxa" w:w="576"/>
            <w:vAlign w:val="center"/>
          </w:tcPr>
          <w:p>
            <w:pPr>
              <w:spacing w:after="0" w:line="240" w:lineRule="auto"/>
              <w:jc w:val="left"/>
            </w:pPr>
            <w:r>
              <w:rPr>
                <w:rFonts w:ascii="Times New Roman" w:hAnsi="Times New Roman" w:eastAsia="Times New Roman"/>
                <w:b w:val="0"/>
                <w:i w:val="0"/>
                <w:color w:val="000000"/>
                <w:sz w:val="20"/>
              </w:rPr>
              <w:t>10</w:t>
            </w:r>
          </w:p>
        </w:tc>
        <w:tc>
          <w:tcPr>
            <w:tcW w:type="dxa" w:w="2160"/>
            <w:vAlign w:val="center"/>
          </w:tcPr>
          <w:p>
            <w:pPr>
              <w:spacing w:after="0" w:line="240" w:lineRule="auto"/>
              <w:jc w:val="left"/>
            </w:pPr>
            <w:r>
              <w:rPr>
                <w:rFonts w:ascii="Times New Roman" w:hAnsi="Times New Roman" w:eastAsia="Times New Roman"/>
                <w:b w:val="0"/>
                <w:i w:val="0"/>
                <w:color w:val="000000"/>
                <w:sz w:val="20"/>
              </w:rPr>
              <w:t>0</w:t>
            </w:r>
          </w:p>
        </w:tc>
        <w:tc>
          <w:tcPr>
            <w:tcW w:type="dxa" w:w="2462"/>
            <w:vAlign w:val="center"/>
          </w:tcPr>
          <w:p>
            <w:pPr>
              <w:spacing w:after="0" w:line="240" w:lineRule="auto"/>
              <w:jc w:val="left"/>
            </w:pPr>
            <w:r>
              <w:rPr>
                <w:rFonts w:ascii="Times New Roman" w:hAnsi="Times New Roman" w:eastAsia="Times New Roman"/>
                <w:b w:val="0"/>
                <w:i w:val="0"/>
                <w:color w:val="000000"/>
                <w:sz w:val="20"/>
              </w:rPr>
              <w:t>10</w:t>
            </w:r>
          </w:p>
        </w:tc>
      </w:tr>
      <w:tr>
        <w:trPr>
          <w:cantSplit/>
        </w:trPr>
        <w:tc>
          <w:tcPr>
            <w:tcW w:type="dxa" w:w="3816"/>
            <w:vAlign w:val="center"/>
          </w:tcPr>
          <w:p>
            <w:pPr>
              <w:spacing w:after="0" w:line="240" w:lineRule="auto"/>
              <w:jc w:val="left"/>
            </w:pPr>
            <w:r>
              <w:rPr>
                <w:rFonts w:ascii="Times New Roman" w:hAnsi="Times New Roman" w:eastAsia="Times New Roman"/>
                <w:b w:val="0"/>
                <w:i w:val="0"/>
                <w:color w:val="000000"/>
                <w:sz w:val="20"/>
              </w:rPr>
              <w:t>Semantic limitation accepted</w:t>
            </w:r>
          </w:p>
        </w:tc>
        <w:tc>
          <w:tcPr>
            <w:tcW w:type="dxa" w:w="576"/>
            <w:vAlign w:val="center"/>
          </w:tcPr>
          <w:p>
            <w:pPr>
              <w:spacing w:after="0" w:line="240" w:lineRule="auto"/>
              <w:jc w:val="left"/>
            </w:pPr>
            <w:r>
              <w:rPr>
                <w:rFonts w:ascii="Times New Roman" w:hAnsi="Times New Roman" w:eastAsia="Times New Roman"/>
                <w:b w:val="0"/>
                <w:i w:val="0"/>
                <w:color w:val="000000"/>
                <w:sz w:val="20"/>
              </w:rPr>
              <w:t>1</w:t>
            </w:r>
          </w:p>
        </w:tc>
        <w:tc>
          <w:tcPr>
            <w:tcW w:type="dxa" w:w="2160"/>
            <w:vAlign w:val="center"/>
          </w:tcPr>
          <w:p>
            <w:pPr>
              <w:spacing w:after="0" w:line="240" w:lineRule="auto"/>
              <w:jc w:val="left"/>
            </w:pPr>
            <w:r>
              <w:rPr>
                <w:rFonts w:ascii="Times New Roman" w:hAnsi="Times New Roman" w:eastAsia="Times New Roman"/>
                <w:b w:val="0"/>
                <w:i w:val="0"/>
                <w:color w:val="000000"/>
                <w:sz w:val="20"/>
              </w:rPr>
              <w:t>1</w:t>
            </w:r>
          </w:p>
        </w:tc>
        <w:tc>
          <w:tcPr>
            <w:tcW w:type="dxa" w:w="2462"/>
            <w:vAlign w:val="center"/>
          </w:tcPr>
          <w:p>
            <w:pPr>
              <w:spacing w:after="0" w:line="240" w:lineRule="auto"/>
              <w:jc w:val="left"/>
            </w:pPr>
            <w:r>
              <w:rPr>
                <w:rFonts w:ascii="Times New Roman" w:hAnsi="Times New Roman" w:eastAsia="Times New Roman"/>
                <w:b w:val="0"/>
                <w:i w:val="0"/>
                <w:color w:val="000000"/>
                <w:sz w:val="20"/>
              </w:rPr>
              <w:t>1</w:t>
            </w:r>
          </w:p>
        </w:tc>
      </w:tr>
    </w:tbl>
    <w:p>
      <w:pPr>
        <w:widowControl/>
        <w:spacing w:after="140"/>
        <w:jc w:val="left"/>
      </w:pPr>
      <w:r>
        <w:rPr>
          <w:rFonts w:ascii="Times New Roman" w:hAnsi="Times New Roman" w:eastAsia="Times New Roman"/>
          <w:b w:val="0"/>
          <w:i/>
          <w:color w:val="000000"/>
          <w:sz w:val="20"/>
        </w:rPr>
        <w:t>Table 6. Deterministic validator ablation. Cases intentionally exercise known checks, so the result is not an estimate of real-world hallucination detection.</w:t>
      </w:r>
    </w:p>
    <w:p>
      <w:pPr>
        <w:widowControl/>
        <w:jc w:val="both"/>
      </w:pPr>
      <w:r>
        <w:rPr>
          <w:rFonts w:ascii="Times New Roman" w:hAnsi="Times New Roman" w:eastAsia="Times New Roman"/>
          <w:b w:val="0"/>
          <w:i w:val="0"/>
          <w:color w:val="000000"/>
          <w:sz w:val="22"/>
        </w:rPr>
        <w:t>Targeted faults include an unknown source, a new number, lost negation or uncertainty, wrong concern ownership, omitted concern, instruction echo, duplicate or empty references and a wrong-language output. V0 accepts their shapes; V1 rejects them. The five accepted controls include faithful text, an explicit negative, uncertainty, refusal and a number written in words. This demonstrates additional contract protection beyond parseable JSON, without establishing a natural-output error rate.</w:t>
      </w:r>
    </w:p>
    <w:p>
      <w:pPr>
        <w:pStyle w:val="Heading2"/>
        <w:widowControl/>
        <w:jc w:val="left"/>
      </w:pPr>
      <w:r>
        <w:rPr>
          <w:rFonts w:ascii="Times New Roman" w:hAnsi="Times New Roman" w:eastAsia="Times New Roman"/>
          <w:b/>
          <w:i w:val="0"/>
          <w:color w:val="1F3864"/>
          <w:sz w:val="25"/>
        </w:rPr>
        <w:t>7.3 Representative scenarios and provider evidence</w:t>
      </w:r>
    </w:p>
    <w:p>
      <w:pPr>
        <w:widowControl/>
        <w:jc w:val="both"/>
      </w:pPr>
      <w:r>
        <w:rPr>
          <w:rFonts w:ascii="Times New Roman" w:hAnsi="Times New Roman" w:eastAsia="Times New Roman"/>
          <w:b w:val="0"/>
          <w:i w:val="0"/>
          <w:color w:val="000000"/>
          <w:sz w:val="22"/>
        </w:rPr>
        <w:t>Two supplied manual fixtures cover bilateral knee discomfort and a blood-pressure follow-up, with field-by-field answers, fictional examination PDFs, generated illustrative images and expected checks. They exercise multiple body areas, repeat-use background, medications/allergies and attachments. They are scenario materials, not two independently scored clinical trials. A recorded synthetic gpt-6-astra Chinese planning smoke returned four questions with no more than three options each; one provider example does not establish general or five-language quality.</w:t>
      </w:r>
    </w:p>
    <w:p>
      <w:pPr>
        <w:pStyle w:val="Heading2"/>
        <w:pageBreakBefore/>
        <w:widowControl/>
        <w:jc w:val="left"/>
      </w:pPr>
      <w:r>
        <w:rPr>
          <w:rFonts w:ascii="Times New Roman" w:hAnsi="Times New Roman" w:eastAsia="Times New Roman"/>
          <w:b/>
          <w:i w:val="0"/>
          <w:color w:val="1F3864"/>
          <w:sz w:val="25"/>
        </w:rPr>
        <w:t>7.4 Failure analysis and trade-offs</w:t>
      </w:r>
    </w:p>
    <w:p>
      <w:pPr>
        <w:widowControl/>
        <w:jc w:val="both"/>
      </w:pPr>
      <w:r>
        <w:rPr>
          <w:rFonts w:ascii="Times New Roman" w:hAnsi="Times New Roman" w:eastAsia="Times New Roman"/>
          <w:b w:val="0"/>
          <w:i w:val="0"/>
          <w:color w:val="000000"/>
          <w:sz w:val="22"/>
        </w:rPr>
        <w:t>The semantic limitation probe is concrete: the source says “Leg pain for 3 days.” The proposed overview says “The patient reports persistent dizziness.” and cites the valid leg-pain source. Both policies accept it. The citation exists and no checked transformation is violated, yet the meaning is unsupported. Source validity and lexical checks are therefore insufficient for entailment. Patient review remains useful, but it cannot be treated as reliable clinical verification.</w:t>
      </w:r>
    </w:p>
    <w:p>
      <w:pPr>
        <w:widowControl/>
        <w:jc w:val="both"/>
      </w:pPr>
      <w:r>
        <w:rPr>
          <w:rFonts w:ascii="Times New Roman" w:hAnsi="Times New Roman" w:eastAsia="Times New Roman"/>
          <w:b w:val="0"/>
          <w:i w:val="0"/>
          <w:color w:val="000000"/>
          <w:sz w:val="22"/>
        </w:rPr>
        <w:t>The evaluation set was constructed around known validation rules and is not held out. It cannot measure extraction precision/recall, clinical coverage, summary faithfulness in natural model responses or patient benefit. The proposed 80-case comparison of alternative interviewing strategies was not completed in the available evidence. There are no calibrated clinician labels, real-patient usability results or repeated model comparisons. The current measured result is engineering reliability under tested conditions.</w:t>
      </w:r>
    </w:p>
    <w:p>
      <w:pPr>
        <w:widowControl/>
        <w:jc w:val="both"/>
      </w:pPr>
      <w:r>
        <w:rPr>
          <w:rFonts w:ascii="Times New Roman" w:hAnsi="Times New Roman" w:eastAsia="Times New Roman"/>
          <w:b w:val="0"/>
          <w:i w:val="0"/>
          <w:color w:val="000000"/>
          <w:sz w:val="22"/>
        </w:rPr>
        <w:t>No empirical token-cost or user-facing latency study was completed. Recorded operation duration can support future analysis, but the test suite’s execution time cannot verify the proposal’s p50 ≤2.5 s and p95 ≤5 s targets. Separate extraction, planning, synthesis and optional attachment assessment may require several paid calls; bounded questions and restricted context reduce uncontrolled work, while large file analysis adds cost and delay. Request budgets and timeouts are ceilings, not observations.</w:t>
      </w:r>
    </w:p>
    <w:p>
      <w:pPr>
        <w:pStyle w:val="Heading1"/>
        <w:widowControl/>
        <w:jc w:val="left"/>
      </w:pPr>
      <w:r>
        <w:rPr>
          <w:rFonts w:ascii="Times New Roman" w:hAnsi="Times New Roman" w:eastAsia="Times New Roman"/>
          <w:b/>
          <w:i w:val="0"/>
          <w:color w:val="1F3864"/>
          <w:sz w:val="30"/>
        </w:rPr>
        <w:t>8 Reflection limitations and next steps</w:t>
      </w:r>
    </w:p>
    <w:p>
      <w:pPr>
        <w:pStyle w:val="Heading2"/>
        <w:widowControl/>
        <w:jc w:val="left"/>
      </w:pPr>
      <w:r>
        <w:rPr>
          <w:rFonts w:ascii="Times New Roman" w:hAnsi="Times New Roman" w:eastAsia="Times New Roman"/>
          <w:b/>
          <w:i w:val="0"/>
          <w:color w:val="1F3864"/>
          <w:sz w:val="25"/>
        </w:rPr>
        <w:t>8.1 What worked and what changed</w:t>
      </w:r>
    </w:p>
    <w:p>
      <w:pPr>
        <w:widowControl/>
        <w:jc w:val="both"/>
      </w:pPr>
      <w:r>
        <w:rPr>
          <w:rFonts w:ascii="Times New Roman" w:hAnsi="Times New Roman" w:eastAsia="Times New Roman"/>
          <w:b w:val="0"/>
          <w:i w:val="0"/>
          <w:color w:val="000000"/>
          <w:sz w:val="22"/>
        </w:rPr>
        <w:t>Separating model proposals from application decisions made important behaviour testable. The guard comparison shows why shape validation alone was inadequate, while authorisation and revision tests exercise controls that do not depend on fluent model output. The integrated UI also gives patients explicit ways to correct, skip, reuse and approve information. Replacing repeated background forms with profile snapshots and a one-question wizard improves the interaction design, although a timed user study is still needed to establish its effect.</w:t>
      </w:r>
    </w:p>
    <w:p>
      <w:pPr>
        <w:widowControl/>
        <w:jc w:val="both"/>
      </w:pPr>
      <w:r>
        <w:rPr>
          <w:rFonts w:ascii="Times New Roman" w:hAnsi="Times New Roman" w:eastAsia="Times New Roman"/>
          <w:b w:val="0"/>
          <w:i w:val="0"/>
          <w:color w:val="000000"/>
          <w:sz w:val="22"/>
        </w:rPr>
        <w:t>The implementation also made deliberate compromises. Five follow-up questions limit burden and expose a clear stopping point, but may leave relevant information unresolved. Equal-weight completion is easy to explain but does not express clinical importance. A single-instance SQLite deployment is practical for demonstration; it is not evidence of capacity for multiple clinics. Five-language display and script checks do not establish equivalent meaning, cultural suitability or clinical safety across languages.</w:t>
      </w:r>
    </w:p>
    <w:p>
      <w:pPr>
        <w:pStyle w:val="Heading2"/>
        <w:widowControl/>
        <w:jc w:val="left"/>
      </w:pPr>
      <w:r>
        <w:rPr>
          <w:rFonts w:ascii="Times New Roman" w:hAnsi="Times New Roman" w:eastAsia="Times New Roman"/>
          <w:b/>
          <w:i w:val="0"/>
          <w:color w:val="1F3864"/>
          <w:sz w:val="25"/>
        </w:rPr>
        <w:t>8.2 Prioritised next steps</w:t>
      </w:r>
    </w:p>
    <w:p>
      <w:pPr>
        <w:widowControl/>
        <w:jc w:val="both"/>
      </w:pPr>
      <w:r>
        <w:rPr>
          <w:rFonts w:ascii="Times New Roman" w:hAnsi="Times New Roman" w:eastAsia="Times New Roman"/>
          <w:b w:val="0"/>
          <w:i w:val="0"/>
          <w:color w:val="000000"/>
          <w:sz w:val="22"/>
        </w:rPr>
        <w:t>First, freeze a synthetic evaluation corpus before comparing a static questionnaire, an unconstrained LLM interview and the current constrained workflow with the same model and budget. Independently label required information and score extraction, unsupported summary statements, uncertainty preservation, repeated questions and completion effort. Report per-case failures and uncertainty intervals, rather than one aggregate score.</w:t>
      </w:r>
    </w:p>
    <w:p>
      <w:pPr>
        <w:widowControl/>
        <w:jc w:val="both"/>
      </w:pPr>
      <w:r>
        <w:rPr>
          <w:rFonts w:ascii="Times New Roman" w:hAnsi="Times New Roman" w:eastAsia="Times New Roman"/>
          <w:b w:val="0"/>
          <w:i w:val="0"/>
          <w:color w:val="000000"/>
          <w:sz w:val="22"/>
        </w:rPr>
        <w:t>Second, add sentence-to-source semantic verification and test it on adversarial paraphrases, corrections and mixed-language narratives, including the accepted dizziness probe. Evaluate false rejection as well as missed errors. Third, instrument tokens, cost and end-to-end p50/p95 response time; compare smaller models and reduced context under the same quality criteria.</w:t>
      </w:r>
    </w:p>
    <w:p>
      <w:pPr>
        <w:widowControl/>
        <w:jc w:val="both"/>
      </w:pPr>
      <w:r>
        <w:rPr>
          <w:rFonts w:ascii="Times New Roman" w:hAnsi="Times New Roman" w:eastAsia="Times New Roman"/>
          <w:b w:val="0"/>
          <w:i w:val="0"/>
          <w:color w:val="000000"/>
          <w:sz w:val="22"/>
        </w:rPr>
        <w:t>Finally, obtain qualified review of the workflow catalogue, safety wording and optional assessment before a clinical pilot. Conduct task-based patient and clinician usability sessions, including voice, mobile and accessibility needs, then address authentication, retention, deployment and translation issues identified by those studies. These activities are planned validation, not results claimed in this report.</w:t>
      </w:r>
    </w:p>
    <w:p>
      <w:pPr>
        <w:pStyle w:val="Heading1"/>
        <w:pageBreakBefore/>
        <w:widowControl/>
        <w:jc w:val="left"/>
      </w:pPr>
      <w:r>
        <w:rPr>
          <w:rFonts w:ascii="Times New Roman" w:hAnsi="Times New Roman" w:eastAsia="Times New Roman"/>
          <w:b/>
          <w:i w:val="0"/>
          <w:color w:val="1F3864"/>
          <w:sz w:val="30"/>
        </w:rPr>
        <w:t>9 Broader impacts and responsible use</w:t>
      </w:r>
    </w:p>
    <w:p>
      <w:pPr>
        <w:widowControl/>
        <w:jc w:val="both"/>
      </w:pPr>
      <w:r>
        <w:rPr>
          <w:rFonts w:ascii="Times New Roman" w:hAnsi="Times New Roman" w:eastAsia="Times New Roman"/>
          <w:b w:val="0"/>
          <w:i w:val="0"/>
          <w:color w:val="000000"/>
          <w:sz w:val="22"/>
        </w:rPr>
        <w:t>A clearer patient-owned record could help people express concerns and prepare questions, especially when typing or language is a barrier. However, incorrect summaries can distort the consultation, and plausible preliminary diagnoses can create anxiety or false reassurance. The optional assessment’s diagnosis and urgency content goes beyond the proposal’s original non-diagnostic boundary; a preliminary label does not establish safety. The factual handoff can be used without that extension. Neither workflow completion nor clinician access is a clinical endorsement.</w:t>
      </w:r>
    </w:p>
    <w:p>
      <w:pPr>
        <w:widowControl/>
        <w:jc w:val="both"/>
      </w:pPr>
      <w:r>
        <w:rPr>
          <w:rFonts w:ascii="Times New Roman" w:hAnsi="Times New Roman" w:eastAsia="Times New Roman"/>
          <w:b w:val="0"/>
          <w:i w:val="0"/>
          <w:color w:val="000000"/>
          <w:sz w:val="22"/>
        </w:rPr>
        <w:t>Privacy controls include account isolation, explicit AI-processing consent, recipient-specific sharing, revocation, private local storage permissions and restricted clinician projections. Session cookies are HttpOnly and SameSite; production enables secure cookies. OTP attempts and requests are limited. The application does not encrypt individual database rows or files, verify professional credentials, or establish healthcare compliance. Text and selected files go to OpenAI; audio is sent for transcription; Resend delivers email codes. store=false does not itself establish Zero Data Retention [10].</w:t>
      </w:r>
    </w:p>
    <w:p>
      <w:pPr>
        <w:widowControl/>
        <w:jc w:val="both"/>
      </w:pPr>
      <w:r>
        <w:rPr>
          <w:rFonts w:ascii="Times New Roman" w:hAnsi="Times New Roman" w:eastAsia="Times New Roman"/>
          <w:b w:val="0"/>
          <w:i w:val="0"/>
          <w:color w:val="000000"/>
          <w:sz w:val="22"/>
        </w:rPr>
        <w:t>Prompt injection can arrive through patient text or uploaded documents. Fixed schemas, target allowlists and source validation restrict its effect, but the audit does not prove complete resistance. Rule-based safety interruptions and language checks have incomplete coverage. Speech-recognition errors, uncommon wording, low literacy, disability and language variation require separate evaluation. Synthetic cases avoid patient-data exposure during development, but also limit generalisability. Deployment would need clinical governance, data-processing and retention decisions, identity verification, operational monitoring and a tested incident process.</w:t>
      </w:r>
    </w:p>
    <w:p>
      <w:pPr>
        <w:pStyle w:val="Heading1"/>
        <w:widowControl/>
        <w:jc w:val="left"/>
      </w:pPr>
      <w:r>
        <w:rPr>
          <w:rFonts w:ascii="Times New Roman" w:hAnsi="Times New Roman" w:eastAsia="Times New Roman"/>
          <w:b/>
          <w:i w:val="0"/>
          <w:color w:val="1F3864"/>
          <w:sz w:val="30"/>
        </w:rPr>
        <w:t>10 Team contributions and AI use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1944"/>
        <w:gridCol w:w="4536"/>
        <w:gridCol w:w="2534"/>
      </w:tblGrid>
      <w:tr>
        <w:trPr>
          <w:cantSplit/>
          <w:tblHeader/>
        </w:trPr>
        <w:tc>
          <w:tcPr>
            <w:tcW w:type="dxa" w:w="1944"/>
            <w:vAlign w:val="center"/>
            <w:shd w:fill="D9E2F3"/>
          </w:tcPr>
          <w:p>
            <w:pPr>
              <w:spacing w:after="0" w:line="240" w:lineRule="auto"/>
              <w:jc w:val="left"/>
            </w:pPr>
            <w:r>
              <w:rPr>
                <w:rFonts w:ascii="Times New Roman" w:hAnsi="Times New Roman" w:eastAsia="Times New Roman"/>
                <w:b/>
                <w:i w:val="0"/>
                <w:color w:val="000000"/>
                <w:sz w:val="20"/>
              </w:rPr>
              <w:t>Member and student ID</w:t>
            </w:r>
          </w:p>
        </w:tc>
        <w:tc>
          <w:tcPr>
            <w:tcW w:type="dxa" w:w="4536"/>
            <w:vAlign w:val="center"/>
            <w:shd w:fill="D9E2F3"/>
          </w:tcPr>
          <w:p>
            <w:pPr>
              <w:spacing w:after="0" w:line="240" w:lineRule="auto"/>
              <w:jc w:val="left"/>
            </w:pPr>
            <w:r>
              <w:rPr>
                <w:rFonts w:ascii="Times New Roman" w:hAnsi="Times New Roman" w:eastAsia="Times New Roman"/>
                <w:b/>
                <w:i w:val="0"/>
                <w:color w:val="000000"/>
                <w:sz w:val="20"/>
              </w:rPr>
              <w:t>Substantive contribution</w:t>
            </w:r>
          </w:p>
        </w:tc>
        <w:tc>
          <w:tcPr>
            <w:tcW w:type="dxa" w:w="2534"/>
            <w:vAlign w:val="center"/>
            <w:shd w:fill="D9E2F3"/>
          </w:tcPr>
          <w:p>
            <w:pPr>
              <w:spacing w:after="0" w:line="240" w:lineRule="auto"/>
              <w:jc w:val="left"/>
            </w:pPr>
            <w:r>
              <w:rPr>
                <w:rFonts w:ascii="Times New Roman" w:hAnsi="Times New Roman" w:eastAsia="Times New Roman"/>
                <w:b/>
                <w:i w:val="0"/>
                <w:color w:val="000000"/>
                <w:sz w:val="20"/>
              </w:rPr>
              <w:t>Report responsibility</w:t>
            </w:r>
          </w:p>
        </w:tc>
      </w:tr>
      <w:tr>
        <w:trPr>
          <w:cantSplit/>
        </w:trPr>
        <w:tc>
          <w:tcPr>
            <w:tcW w:type="dxa" w:w="1944"/>
            <w:vAlign w:val="center"/>
          </w:tcPr>
          <w:p>
            <w:pPr>
              <w:spacing w:after="0" w:line="240" w:lineRule="auto"/>
              <w:jc w:val="left"/>
            </w:pPr>
            <w:r>
              <w:rPr>
                <w:rFonts w:ascii="Times New Roman" w:hAnsi="Times New Roman" w:eastAsia="Times New Roman"/>
                <w:b w:val="0"/>
                <w:i w:val="0"/>
                <w:color w:val="000000"/>
                <w:sz w:val="20"/>
              </w:rPr>
              <w:t>Robin Kim</w:t>
              <w:br/>
              <w:t>520494747</w:t>
            </w:r>
          </w:p>
        </w:tc>
        <w:tc>
          <w:tcPr>
            <w:tcW w:type="dxa" w:w="4536"/>
            <w:vAlign w:val="center"/>
          </w:tcPr>
          <w:p>
            <w:pPr>
              <w:spacing w:after="0" w:line="240" w:lineRule="auto"/>
              <w:jc w:val="left"/>
            </w:pPr>
            <w:r>
              <w:rPr>
                <w:rFonts w:ascii="Times New Roman" w:hAnsi="Times New Roman" w:eastAsia="Times New Roman"/>
                <w:b w:val="0"/>
                <w:i w:val="0"/>
                <w:color w:val="000000"/>
                <w:sz w:val="20"/>
              </w:rPr>
              <w:t>Core AI and state logic; schema and question authority; summary approval and repository integration.</w:t>
            </w:r>
          </w:p>
        </w:tc>
        <w:tc>
          <w:tcPr>
            <w:tcW w:type="dxa" w:w="2534"/>
            <w:vAlign w:val="center"/>
          </w:tcPr>
          <w:p>
            <w:pPr>
              <w:spacing w:after="0" w:line="240" w:lineRule="auto"/>
              <w:jc w:val="left"/>
            </w:pPr>
            <w:r>
              <w:rPr>
                <w:rFonts w:ascii="Times New Roman" w:hAnsi="Times New Roman" w:eastAsia="Times New Roman"/>
                <w:b w:val="0"/>
                <w:i w:val="0"/>
                <w:color w:val="000000"/>
                <w:sz w:val="20"/>
              </w:rPr>
              <w:t>Core agent design, state and handoff explanation.</w:t>
            </w:r>
          </w:p>
        </w:tc>
      </w:tr>
      <w:tr>
        <w:trPr>
          <w:cantSplit/>
        </w:trPr>
        <w:tc>
          <w:tcPr>
            <w:tcW w:type="dxa" w:w="1944"/>
            <w:vAlign w:val="center"/>
          </w:tcPr>
          <w:p>
            <w:pPr>
              <w:spacing w:after="0" w:line="240" w:lineRule="auto"/>
              <w:jc w:val="left"/>
            </w:pPr>
            <w:r>
              <w:rPr>
                <w:rFonts w:ascii="Times New Roman" w:hAnsi="Times New Roman" w:eastAsia="Times New Roman"/>
                <w:b w:val="0"/>
                <w:i w:val="0"/>
                <w:color w:val="000000"/>
                <w:sz w:val="20"/>
              </w:rPr>
              <w:t>Heeran Shin</w:t>
              <w:br/>
              <w:t>550526315</w:t>
            </w:r>
          </w:p>
        </w:tc>
        <w:tc>
          <w:tcPr>
            <w:tcW w:type="dxa" w:w="4536"/>
            <w:vAlign w:val="center"/>
          </w:tcPr>
          <w:p>
            <w:pPr>
              <w:spacing w:after="0" w:line="240" w:lineRule="auto"/>
              <w:jc w:val="left"/>
            </w:pPr>
            <w:r>
              <w:rPr>
                <w:rFonts w:ascii="Times New Roman" w:hAnsi="Times New Roman" w:eastAsia="Times New Roman"/>
                <w:b w:val="0"/>
                <w:i w:val="0"/>
                <w:color w:val="000000"/>
                <w:sz w:val="20"/>
              </w:rPr>
              <w:t>GenAI evaluation lead; patient frontend, authentication/intake, language and body-map work.</w:t>
            </w:r>
          </w:p>
        </w:tc>
        <w:tc>
          <w:tcPr>
            <w:tcW w:type="dxa" w:w="2534"/>
            <w:vAlign w:val="center"/>
          </w:tcPr>
          <w:p>
            <w:pPr>
              <w:spacing w:after="0" w:line="240" w:lineRule="auto"/>
              <w:jc w:val="left"/>
            </w:pPr>
            <w:r>
              <w:rPr>
                <w:rFonts w:ascii="Times New Roman" w:hAnsi="Times New Roman" w:eastAsia="Times New Roman"/>
                <w:b w:val="0"/>
                <w:i w:val="0"/>
                <w:color w:val="000000"/>
                <w:sz w:val="20"/>
              </w:rPr>
              <w:t>Evaluation method and interpretation; patient workflow.</w:t>
            </w:r>
          </w:p>
        </w:tc>
      </w:tr>
      <w:tr>
        <w:trPr>
          <w:cantSplit/>
        </w:trPr>
        <w:tc>
          <w:tcPr>
            <w:tcW w:type="dxa" w:w="1944"/>
            <w:vAlign w:val="center"/>
          </w:tcPr>
          <w:p>
            <w:pPr>
              <w:spacing w:after="0" w:line="240" w:lineRule="auto"/>
              <w:jc w:val="left"/>
            </w:pPr>
            <w:r>
              <w:rPr>
                <w:rFonts w:ascii="Times New Roman" w:hAnsi="Times New Roman" w:eastAsia="Times New Roman"/>
                <w:b w:val="0"/>
                <w:i w:val="0"/>
                <w:color w:val="000000"/>
                <w:sz w:val="20"/>
              </w:rPr>
              <w:t>Haobo Wang</w:t>
              <w:br/>
              <w:t>550290472</w:t>
            </w:r>
          </w:p>
        </w:tc>
        <w:tc>
          <w:tcPr>
            <w:tcW w:type="dxa" w:w="4536"/>
            <w:vAlign w:val="center"/>
          </w:tcPr>
          <w:p>
            <w:pPr>
              <w:spacing w:after="0" w:line="240" w:lineRule="auto"/>
              <w:jc w:val="left"/>
            </w:pPr>
            <w:r>
              <w:rPr>
                <w:rFonts w:ascii="Times New Roman" w:hAnsi="Times New Roman" w:eastAsia="Times New Roman"/>
                <w:b w:val="0"/>
                <w:i w:val="0"/>
                <w:color w:val="000000"/>
                <w:sz w:val="20"/>
              </w:rPr>
              <w:t>Core component implementation and contribution to integrated backend functionality.</w:t>
            </w:r>
          </w:p>
        </w:tc>
        <w:tc>
          <w:tcPr>
            <w:tcW w:type="dxa" w:w="2534"/>
            <w:vAlign w:val="center"/>
          </w:tcPr>
          <w:p>
            <w:pPr>
              <w:spacing w:after="0" w:line="240" w:lineRule="auto"/>
              <w:jc w:val="left"/>
            </w:pPr>
            <w:r>
              <w:rPr>
                <w:rFonts w:ascii="Times New Roman" w:hAnsi="Times New Roman" w:eastAsia="Times New Roman"/>
                <w:b w:val="0"/>
                <w:i w:val="0"/>
                <w:color w:val="000000"/>
                <w:sz w:val="20"/>
              </w:rPr>
              <w:t>Core component documentation and implementation review.</w:t>
            </w:r>
          </w:p>
        </w:tc>
      </w:tr>
      <w:tr>
        <w:trPr>
          <w:cantSplit/>
        </w:trPr>
        <w:tc>
          <w:tcPr>
            <w:tcW w:type="dxa" w:w="1944"/>
            <w:vAlign w:val="center"/>
          </w:tcPr>
          <w:p>
            <w:pPr>
              <w:spacing w:after="0" w:line="240" w:lineRule="auto"/>
              <w:jc w:val="left"/>
            </w:pPr>
            <w:r>
              <w:rPr>
                <w:rFonts w:ascii="Times New Roman" w:hAnsi="Times New Roman" w:eastAsia="Times New Roman"/>
                <w:b w:val="0"/>
                <w:i w:val="0"/>
                <w:color w:val="000000"/>
                <w:sz w:val="20"/>
              </w:rPr>
              <w:t>Hengyu Wang</w:t>
              <w:br/>
              <w:t>550476641</w:t>
            </w:r>
          </w:p>
        </w:tc>
        <w:tc>
          <w:tcPr>
            <w:tcW w:type="dxa" w:w="4536"/>
            <w:vAlign w:val="center"/>
          </w:tcPr>
          <w:p>
            <w:pPr>
              <w:spacing w:after="0" w:line="240" w:lineRule="auto"/>
              <w:jc w:val="left"/>
            </w:pPr>
            <w:r>
              <w:rPr>
                <w:rFonts w:ascii="Times New Roman" w:hAnsi="Times New Roman" w:eastAsia="Times New Roman"/>
                <w:b w:val="0"/>
                <w:i w:val="0"/>
                <w:color w:val="000000"/>
                <w:sz w:val="20"/>
              </w:rPr>
              <w:t>Core component implementation and contribution to integrated backend functionality.</w:t>
            </w:r>
          </w:p>
        </w:tc>
        <w:tc>
          <w:tcPr>
            <w:tcW w:type="dxa" w:w="2534"/>
            <w:vAlign w:val="center"/>
          </w:tcPr>
          <w:p>
            <w:pPr>
              <w:spacing w:after="0" w:line="240" w:lineRule="auto"/>
              <w:jc w:val="left"/>
            </w:pPr>
            <w:r>
              <w:rPr>
                <w:rFonts w:ascii="Times New Roman" w:hAnsi="Times New Roman" w:eastAsia="Times New Roman"/>
                <w:b w:val="0"/>
                <w:i w:val="0"/>
                <w:color w:val="000000"/>
                <w:sz w:val="20"/>
              </w:rPr>
              <w:t>Core component documentation and implementation review.</w:t>
            </w:r>
          </w:p>
        </w:tc>
      </w:tr>
      <w:tr>
        <w:trPr>
          <w:cantSplit/>
        </w:trPr>
        <w:tc>
          <w:tcPr>
            <w:tcW w:type="dxa" w:w="1944"/>
            <w:vAlign w:val="center"/>
          </w:tcPr>
          <w:p>
            <w:pPr>
              <w:spacing w:after="0" w:line="240" w:lineRule="auto"/>
              <w:jc w:val="left"/>
            </w:pPr>
            <w:r>
              <w:rPr>
                <w:rFonts w:ascii="Times New Roman" w:hAnsi="Times New Roman" w:eastAsia="Times New Roman"/>
                <w:b w:val="0"/>
                <w:i w:val="0"/>
                <w:color w:val="000000"/>
                <w:sz w:val="20"/>
              </w:rPr>
              <w:t>Guopeng Tan</w:t>
              <w:br/>
              <w:t>560226939</w:t>
            </w:r>
          </w:p>
        </w:tc>
        <w:tc>
          <w:tcPr>
            <w:tcW w:type="dxa" w:w="4536"/>
            <w:vAlign w:val="center"/>
          </w:tcPr>
          <w:p>
            <w:pPr>
              <w:spacing w:after="0" w:line="240" w:lineRule="auto"/>
              <w:jc w:val="left"/>
            </w:pPr>
            <w:r>
              <w:rPr>
                <w:rFonts w:ascii="Times New Roman" w:hAnsi="Times New Roman" w:eastAsia="Times New Roman"/>
                <w:b w:val="0"/>
                <w:i w:val="0"/>
                <w:color w:val="000000"/>
                <w:sz w:val="20"/>
              </w:rPr>
              <w:t>Overall architecture and integration; UI optimisation, wizard/voice/localisation refinement and report/export integration.</w:t>
            </w:r>
          </w:p>
        </w:tc>
        <w:tc>
          <w:tcPr>
            <w:tcW w:type="dxa" w:w="2534"/>
            <w:vAlign w:val="center"/>
          </w:tcPr>
          <w:p>
            <w:pPr>
              <w:spacing w:after="0" w:line="240" w:lineRule="auto"/>
              <w:jc w:val="left"/>
            </w:pPr>
            <w:r>
              <w:rPr>
                <w:rFonts w:ascii="Times New Roman" w:hAnsi="Times New Roman" w:eastAsia="Times New Roman"/>
                <w:b w:val="0"/>
                <w:i w:val="0"/>
                <w:color w:val="000000"/>
                <w:sz w:val="20"/>
              </w:rPr>
              <w:t>Architecture, refreshed demonstration and report integration.</w:t>
            </w:r>
          </w:p>
        </w:tc>
      </w:tr>
    </w:tbl>
    <w:p>
      <w:pPr>
        <w:widowControl/>
        <w:spacing w:after="140"/>
        <w:jc w:val="left"/>
      </w:pPr>
      <w:r>
        <w:rPr>
          <w:rFonts w:ascii="Times New Roman" w:hAnsi="Times New Roman" w:eastAsia="Times New Roman"/>
          <w:b w:val="0"/>
          <w:i/>
          <w:color w:val="000000"/>
          <w:sz w:val="20"/>
        </w:rPr>
        <w:t>Table 7. Team-confirmed substantive responsibilities, supplemented by identifiable repository contributions. Report responsibilities identify the review area for each contribution.</w:t>
      </w:r>
    </w:p>
    <w:p>
      <w:pPr>
        <w:widowControl/>
        <w:jc w:val="both"/>
      </w:pPr>
      <w:r>
        <w:rPr>
          <w:rFonts w:ascii="Times New Roman" w:hAnsi="Times New Roman" w:eastAsia="Times New Roman"/>
          <w:b w:val="0"/>
          <w:i w:val="0"/>
          <w:color w:val="000000"/>
          <w:sz w:val="22"/>
        </w:rPr>
        <w:t>OpenAI Codex assisted code integration and refinement, test generation, synthetic test materials, source inspection, reference checking, report drafting and screenshot/layout automation. Generated code was checked through automated suites and the actual browser workflow; report claims were compared with the frozen source and recorded outputs. AI-generated scenario images and examination documents are labelled fictional. These checks do not replace independent clinical or human usability evaluation. The group remains responsible for the submitted code, claims, citations and assessment conduct.</w:t>
      </w:r>
    </w:p>
    <w:p>
      <w:pPr>
        <w:pStyle w:val="Heading1"/>
        <w:pageBreakBefore/>
        <w:widowControl/>
        <w:jc w:val="left"/>
      </w:pPr>
      <w:r>
        <w:rPr>
          <w:rFonts w:ascii="Times New Roman" w:hAnsi="Times New Roman" w:eastAsia="Times New Roman"/>
          <w:b/>
          <w:i w:val="0"/>
          <w:color w:val="1F3864"/>
          <w:sz w:val="30"/>
        </w:rPr>
        <w:t>References</w:t>
      </w:r>
    </w:p>
    <w:p>
      <w:pPr>
        <w:widowControl/>
        <w:jc w:val="left"/>
      </w:pPr>
      <w:r>
        <w:rPr>
          <w:rFonts w:ascii="Times New Roman" w:hAnsi="Times New Roman" w:eastAsia="Times New Roman"/>
          <w:b w:val="0"/>
          <w:i w:val="0"/>
          <w:color w:val="000000"/>
          <w:sz w:val="22"/>
        </w:rPr>
        <w:t>[1] ELEC5623 Group 9, “PreConsult source code,” integration, commit 91a854375481ce3166282beb5697ad95742a3ea1, Oct. 21, 2026. [Online]. Available: https://github.com/rkim9125/elec5623-group9-preconsultation (assessed local source snapshot).</w:t>
      </w:r>
    </w:p>
    <w:p>
      <w:pPr>
        <w:widowControl/>
        <w:jc w:val="left"/>
      </w:pPr>
      <w:r>
        <w:rPr>
          <w:rFonts w:ascii="Times New Roman" w:hAnsi="Times New Roman" w:eastAsia="Times New Roman"/>
          <w:b w:val="0"/>
          <w:i w:val="0"/>
          <w:color w:val="000000"/>
          <w:sz w:val="22"/>
        </w:rPr>
        <w:t>[2] ELEC5623 Group 9, “Pre-consultation preparation agent: Group business proposal,” 2026. Project document in docs/ELEC5623_Group9_Preconsultation_Proposal_Final_v6.pdf, distributed with the source repository.</w:t>
      </w:r>
    </w:p>
    <w:p>
      <w:pPr>
        <w:widowControl/>
        <w:jc w:val="left"/>
      </w:pPr>
      <w:r>
        <w:rPr>
          <w:rFonts w:ascii="Times New Roman" w:hAnsi="Times New Roman" w:eastAsia="Times New Roman"/>
          <w:b w:val="0"/>
          <w:i w:val="0"/>
          <w:color w:val="000000"/>
          <w:sz w:val="22"/>
        </w:rPr>
        <w:t>[3] Infermedica, “Intake,” Infermedica for Developers. Accessed: Oct. 21, 2026. [Online]. Available: https://developer.infermedica.com/documentation/platform-api/interview-types/intake/</w:t>
      </w:r>
    </w:p>
    <w:p>
      <w:pPr>
        <w:widowControl/>
        <w:jc w:val="left"/>
      </w:pPr>
      <w:r>
        <w:rPr>
          <w:rFonts w:ascii="Times New Roman" w:hAnsi="Times New Roman" w:eastAsia="Times New Roman"/>
          <w:b w:val="0"/>
          <w:i w:val="0"/>
          <w:color w:val="000000"/>
          <w:sz w:val="22"/>
        </w:rPr>
        <w:t>[4] Infermedica, “Diagnosis,” Infermedica for Developers. Accessed: Oct. 21, 2026. [Online]. Available: https://developer.infermedica.com/documentation/engine-api/build-your-solution/diagnosis/</w:t>
      </w:r>
    </w:p>
    <w:p>
      <w:pPr>
        <w:widowControl/>
        <w:jc w:val="left"/>
      </w:pPr>
      <w:r>
        <w:rPr>
          <w:rFonts w:ascii="Times New Roman" w:hAnsi="Times New Roman" w:eastAsia="Times New Roman"/>
          <w:b w:val="0"/>
          <w:i w:val="0"/>
          <w:color w:val="000000"/>
          <w:sz w:val="22"/>
        </w:rPr>
        <w:t>[5] Ada Health, “How do I start a symptom assessment?,” Ada Help. Accessed: Oct. 21, 2026. [Online]. Available: https://ada.com/help/how-do-i-start-a-symptom-assessment/</w:t>
      </w:r>
    </w:p>
    <w:p>
      <w:pPr>
        <w:widowControl/>
        <w:jc w:val="left"/>
      </w:pPr>
      <w:r>
        <w:rPr>
          <w:rFonts w:ascii="Times New Roman" w:hAnsi="Times New Roman" w:eastAsia="Times New Roman"/>
          <w:b w:val="0"/>
          <w:i w:val="0"/>
          <w:color w:val="000000"/>
          <w:sz w:val="22"/>
        </w:rPr>
        <w:t>[6] T. Tu et al., “Towards conversational diagnostic artificial intelligence,” Nature, vol. 642, pp. 442–450, 2025, doi: 10.1038/s41586-025-08866-7.</w:t>
      </w:r>
    </w:p>
    <w:p>
      <w:pPr>
        <w:widowControl/>
        <w:jc w:val="left"/>
      </w:pPr>
      <w:r>
        <w:rPr>
          <w:rFonts w:ascii="Times New Roman" w:hAnsi="Times New Roman" w:eastAsia="Times New Roman"/>
          <w:b w:val="0"/>
          <w:i w:val="0"/>
          <w:color w:val="000000"/>
          <w:sz w:val="22"/>
        </w:rPr>
        <w:t>[7] N. Thawinwisan, C. Liu, G. Yamamoto, K. Kishimoto, Y. Mori, and T. Kuroda, “Evaluation of Prompt Design and Internal Reasoning in Chatbot-Based Medical History Taking: Simulation Study,” JMIR Medical Informatics, vol. 14, Art. no. e94614, 2026, doi: 10.2196/94614.</w:t>
      </w:r>
    </w:p>
    <w:p>
      <w:pPr>
        <w:widowControl/>
        <w:jc w:val="left"/>
      </w:pPr>
      <w:r>
        <w:rPr>
          <w:rFonts w:ascii="Times New Roman" w:hAnsi="Times New Roman" w:eastAsia="Times New Roman"/>
          <w:b w:val="0"/>
          <w:i w:val="0"/>
          <w:color w:val="000000"/>
          <w:sz w:val="22"/>
        </w:rPr>
        <w:t>[8] A. Rastogi, X. Zang, S. Sunkara, R. Gupta, and P. Khaitan, “Towards Scalable Multi-Domain Conversational Agents: The Schema-Guided Dialogue Dataset,” in Proc. AAAI Conf. Artif. Intell., vol. 34, no. 5, pp. 8689–8696, 2020, doi: 10.1609/aaai.v34i05.6394.</w:t>
      </w:r>
    </w:p>
    <w:p>
      <w:pPr>
        <w:widowControl/>
        <w:jc w:val="left"/>
      </w:pPr>
      <w:r>
        <w:rPr>
          <w:rFonts w:ascii="Times New Roman" w:hAnsi="Times New Roman" w:eastAsia="Times New Roman"/>
          <w:b w:val="0"/>
          <w:i w:val="0"/>
          <w:color w:val="000000"/>
          <w:sz w:val="22"/>
        </w:rPr>
        <w:t>[9] OpenAI, “Structured model outputs,” OpenAI API Documentation. Accessed: Oct. 21, 2026. [Online]. Available: https://developers.openai.com/api/docs/guides/structured-outputs?api-mode=responses</w:t>
      </w:r>
    </w:p>
    <w:p>
      <w:pPr>
        <w:widowControl/>
        <w:jc w:val="left"/>
      </w:pPr>
      <w:r>
        <w:rPr>
          <w:rFonts w:ascii="Times New Roman" w:hAnsi="Times New Roman" w:eastAsia="Times New Roman"/>
          <w:b w:val="0"/>
          <w:i w:val="0"/>
          <w:color w:val="000000"/>
          <w:sz w:val="22"/>
        </w:rPr>
        <w:t>[10] OpenAI, “Data controls in the OpenAI platform,” OpenAI API Documentation. Accessed: Oct. 21, 2026. [Online]. Available: https://developers.openai.com/api/docs/guides/your-data</w:t>
      </w:r>
    </w:p>
    <w:p>
      <w:pPr>
        <w:pStyle w:val="Heading1"/>
        <w:pageBreakBefore/>
        <w:widowControl/>
        <w:jc w:val="left"/>
      </w:pPr>
      <w:r>
        <w:rPr>
          <w:rFonts w:ascii="Times New Roman" w:hAnsi="Times New Roman" w:eastAsia="Times New Roman"/>
          <w:b/>
          <w:i w:val="0"/>
          <w:color w:val="1F3864"/>
          <w:sz w:val="30"/>
        </w:rPr>
        <w:t>Appendix A Reproduction and source map</w:t>
      </w:r>
    </w:p>
    <w:p>
      <w:pPr>
        <w:widowControl/>
        <w:jc w:val="both"/>
      </w:pPr>
      <w:r>
        <w:rPr>
          <w:rFonts w:ascii="Times New Roman" w:hAnsi="Times New Roman" w:eastAsia="Times New Roman"/>
          <w:b w:val="0"/>
          <w:i w:val="0"/>
          <w:color w:val="000000"/>
          <w:sz w:val="22"/>
        </w:rPr>
        <w:t>Source cut: integration, commit 91a854375481ce3166282beb5697ad95742a3ea1. All repository paths below are relative to that checkout. The report evidence cut is 21 October 2026. The source repository remains the authoritative implementation; this report describes the active product modules rather than the preserved earlier teaching API.</w:t>
      </w:r>
    </w:p>
    <w:p>
      <w:pPr>
        <w:pStyle w:val="Heading2"/>
        <w:widowControl/>
        <w:jc w:val="left"/>
      </w:pPr>
      <w:r>
        <w:rPr>
          <w:rFonts w:ascii="Times New Roman" w:hAnsi="Times New Roman" w:eastAsia="Times New Roman"/>
          <w:b/>
          <w:i w:val="0"/>
          <w:color w:val="1F3864"/>
          <w:sz w:val="25"/>
        </w:rPr>
        <w:t>A1 Local application and checks</w:t>
      </w:r>
    </w:p>
    <w:p>
      <w:pPr>
        <w:widowControl/>
        <w:jc w:val="left"/>
      </w:pPr>
      <w:r>
        <w:rPr>
          <w:rFonts w:ascii="Courier New" w:hAnsi="Courier New" w:eastAsia="Times New Roman"/>
          <w:b w:val="0"/>
          <w:i w:val="0"/>
          <w:color w:val="000000"/>
          <w:sz w:val="18"/>
        </w:rPr>
        <w:t>git checkout 91a854375481ce3166282beb5697ad95742a3ea1</w:t>
        <w:br/>
        <w:t>bash scripts/start-local.sh</w:t>
        <w:br/>
        <w:t># Open http://127.0.0.1:8000/#/patient</w:t>
      </w:r>
    </w:p>
    <w:p>
      <w:pPr>
        <w:widowControl/>
        <w:jc w:val="both"/>
      </w:pPr>
      <w:r>
        <w:rPr>
          <w:rFonts w:ascii="Times New Roman" w:hAnsi="Times New Roman" w:eastAsia="Times New Roman"/>
          <w:b w:val="0"/>
          <w:i w:val="0"/>
          <w:color w:val="000000"/>
          <w:sz w:val="22"/>
        </w:rPr>
        <w:t>Use the locked backend dependencies and frontend package lock. Supply local OpenAI and Resend configuration through the documented ignored environment file; never package keys or patient data. Use distinct patient and doctor emails for OTP login. The startup script builds the frontend and serves it with FastAPI. Production data paths are not test fixtures.</w:t>
      </w:r>
    </w:p>
    <w:p>
      <w:pPr>
        <w:widowControl/>
        <w:jc w:val="left"/>
      </w:pPr>
      <w:r>
        <w:rPr>
          <w:rFonts w:ascii="Courier New" w:hAnsi="Courier New" w:eastAsia="Times New Roman"/>
          <w:b w:val="0"/>
          <w:i w:val="0"/>
          <w:color w:val="000000"/>
          <w:sz w:val="18"/>
        </w:rPr>
        <w:t>PYTHON_DOTENV_DISABLED=1 backend/.venv/bin/python \</w:t>
        <w:br/>
        <w:t xml:space="preserve">  -m pytest backend/tests/test_product*.py -q</w:t>
        <w:br/>
        <w:t>cd frontend</w:t>
        <w:br/>
        <w:t>npm test</w:t>
        <w:br/>
        <w:t>npm run build</w:t>
      </w:r>
    </w:p>
    <w:p>
      <w:pPr>
        <w:widowControl/>
        <w:jc w:val="both"/>
      </w:pPr>
      <w:r>
        <w:rPr>
          <w:rFonts w:ascii="Times New Roman" w:hAnsi="Times New Roman" w:eastAsia="Times New Roman"/>
          <w:b w:val="0"/>
          <w:i w:val="0"/>
          <w:color w:val="000000"/>
          <w:sz w:val="22"/>
        </w:rPr>
        <w:t>The recorded backend run used Python 3.14.7; the frontend run used Node 20.20.2. A fresh browser fixture run recorded 34 successful checks, 14 captures and five selected axe scans; publication screenshots were separately recaptured at higher resolution. The capture manifest records route, locale, viewport, timestamp and simulated inputs. Microphone, transcription, outbound email and AI content were controlled; no real account or patient database was used.</w:t>
      </w:r>
    </w:p>
    <w:p>
      <w:pPr>
        <w:pStyle w:val="Heading2"/>
        <w:widowControl/>
        <w:jc w:val="left"/>
      </w:pPr>
      <w:r>
        <w:rPr>
          <w:rFonts w:ascii="Times New Roman" w:hAnsi="Times New Roman" w:eastAsia="Times New Roman"/>
          <w:b/>
          <w:i w:val="0"/>
          <w:color w:val="1F3864"/>
          <w:sz w:val="25"/>
        </w:rPr>
        <w:t>A2 Browser and validator reproduction</w:t>
      </w:r>
    </w:p>
    <w:p>
      <w:pPr>
        <w:widowControl/>
        <w:jc w:val="left"/>
      </w:pPr>
      <w:r>
        <w:rPr>
          <w:rFonts w:ascii="Courier New" w:hAnsi="Courier New" w:eastAsia="Times New Roman"/>
          <w:b w:val="0"/>
          <w:i w:val="0"/>
          <w:color w:val="000000"/>
          <w:sz w:val="18"/>
        </w:rPr>
        <w:t>backend/.venv/bin/python scripts/product-browser-server.py</w:t>
        <w:br/>
        <w:t># In a second terminal, from the checkout:</w:t>
        <w:br/>
        <w:t>node scripts/test-wizard-browser.mjs</w:t>
      </w:r>
    </w:p>
    <w:p>
      <w:pPr>
        <w:widowControl/>
        <w:jc w:val="both"/>
      </w:pPr>
      <w:r>
        <w:rPr>
          <w:rFonts w:ascii="Times New Roman" w:hAnsi="Times New Roman" w:eastAsia="Times New Roman"/>
          <w:b w:val="0"/>
          <w:i w:val="0"/>
          <w:color w:val="000000"/>
          <w:sz w:val="22"/>
        </w:rPr>
        <w:t>The browser harness uses loopback port 8001 and .local/browser-test; it must not target the normal product server. The built frontend and Playwright browser are required. Results are written to .local/wizard-browser/report.json.</w:t>
      </w:r>
    </w:p>
    <w:p>
      <w:pPr>
        <w:widowControl/>
        <w:jc w:val="left"/>
      </w:pPr>
      <w:r>
        <w:rPr>
          <w:rFonts w:ascii="Courier New" w:hAnsi="Courier New" w:eastAsia="Times New Roman"/>
          <w:b w:val="0"/>
          <w:i w:val="0"/>
          <w:color w:val="000000"/>
          <w:sz w:val="18"/>
        </w:rPr>
        <w:t>PRECONSULT_REPO="$PWD" backend/.venv/bin/python \</w:t>
        <w:br/>
        <w:t xml:space="preserve">  /path/to/report/evidence/guard_audit.py</w:t>
      </w:r>
    </w:p>
    <w:p>
      <w:pPr>
        <w:widowControl/>
        <w:jc w:val="both"/>
      </w:pPr>
      <w:r>
        <w:rPr>
          <w:rFonts w:ascii="Times New Roman" w:hAnsi="Times New Roman" w:eastAsia="Times New Roman"/>
          <w:b w:val="0"/>
          <w:i w:val="0"/>
          <w:color w:val="000000"/>
          <w:sz w:val="22"/>
        </w:rPr>
        <w:t>The accompanying local report folder contains evidence/guard_audit.py, guard-audit.json, product-tests.log, frontend-tests.log, wizard-browser-verification.json and screenshot-manifest.json. Replace /path/to/report with that folder. The audit was added for this report after the frozen product commit; it invokes that commit’s production validator and makes no service calls. Appendix C also records every input change and outcome.</w:t>
      </w:r>
    </w:p>
    <w:p>
      <w:pPr>
        <w:widowControl/>
        <w:jc w:val="both"/>
      </w:pPr>
      <w:r>
        <w:rPr>
          <w:rFonts w:ascii="Times New Roman" w:hAnsi="Times New Roman" w:eastAsia="Times New Roman"/>
          <w:b w:val="0"/>
          <w:i w:val="0"/>
          <w:color w:val="000000"/>
          <w:sz w:val="22"/>
        </w:rPr>
        <w:t>V0 and V1 identify validator policies only. They are distinct from the proposed B0/B1/B2/P interviewing strategies, which were not compared in the completed evaluation.</w:t>
      </w:r>
    </w:p>
    <w:p>
      <w:pPr>
        <w:pStyle w:val="Heading1"/>
        <w:pageBreakBefore/>
        <w:widowControl/>
        <w:jc w:val="left"/>
      </w:pPr>
      <w:r>
        <w:rPr>
          <w:rFonts w:ascii="Times New Roman" w:hAnsi="Times New Roman" w:eastAsia="Times New Roman"/>
          <w:b/>
          <w:i w:val="0"/>
          <w:color w:val="1F3864"/>
          <w:sz w:val="30"/>
        </w:rPr>
        <w:t>Appendix A Prompt and implementation locations</w:t>
      </w:r>
    </w:p>
    <w:p>
      <w:pPr>
        <w:pStyle w:val="Heading2"/>
        <w:widowControl/>
        <w:jc w:val="left"/>
      </w:pPr>
      <w:r>
        <w:rPr>
          <w:rFonts w:ascii="Times New Roman" w:hAnsi="Times New Roman" w:eastAsia="Times New Roman"/>
          <w:b/>
          <w:i w:val="0"/>
          <w:color w:val="1F3864"/>
          <w:sz w:val="25"/>
        </w:rPr>
        <w:t>A3 Exact source locations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4608"/>
        <w:gridCol w:w="4406"/>
      </w:tblGrid>
      <w:tr>
        <w:trPr>
          <w:cantSplit/>
          <w:tblHeader/>
        </w:trPr>
        <w:tc>
          <w:tcPr>
            <w:tcW w:type="dxa" w:w="4608"/>
            <w:vAlign w:val="center"/>
            <w:shd w:fill="D9E2F3"/>
          </w:tcPr>
          <w:p>
            <w:pPr>
              <w:spacing w:after="0" w:line="240" w:lineRule="auto"/>
              <w:jc w:val="left"/>
            </w:pPr>
            <w:r>
              <w:rPr>
                <w:rFonts w:ascii="Times New Roman" w:hAnsi="Times New Roman" w:eastAsia="Times New Roman"/>
                <w:b/>
                <w:i w:val="0"/>
                <w:color w:val="000000"/>
                <w:sz w:val="20"/>
              </w:rPr>
              <w:t>Source within the repository</w:t>
            </w:r>
          </w:p>
        </w:tc>
        <w:tc>
          <w:tcPr>
            <w:tcW w:type="dxa" w:w="4406"/>
            <w:vAlign w:val="center"/>
            <w:shd w:fill="D9E2F3"/>
          </w:tcPr>
          <w:p>
            <w:pPr>
              <w:spacing w:after="0" w:line="240" w:lineRule="auto"/>
              <w:jc w:val="left"/>
            </w:pPr>
            <w:r>
              <w:rPr>
                <w:rFonts w:ascii="Times New Roman" w:hAnsi="Times New Roman" w:eastAsia="Times New Roman"/>
                <w:b/>
                <w:i w:val="0"/>
                <w:color w:val="000000"/>
                <w:sz w:val="20"/>
              </w:rPr>
              <w:t>Relevant behaviour</w:t>
            </w:r>
          </w:p>
        </w:tc>
      </w:tr>
      <w:tr>
        <w:trPr>
          <w:cantSplit/>
        </w:trPr>
        <w:tc>
          <w:tcPr>
            <w:tcW w:type="dxa" w:w="4608"/>
            <w:vAlign w:val="center"/>
          </w:tcPr>
          <w:p>
            <w:pPr>
              <w:spacing w:after="0" w:line="240" w:lineRule="auto"/>
              <w:jc w:val="left"/>
            </w:pPr>
            <w:r>
              <w:rPr>
                <w:rFonts w:ascii="Times New Roman" w:hAnsi="Times New Roman" w:eastAsia="Times New Roman"/>
                <w:b w:val="0"/>
                <w:i w:val="0"/>
                <w:color w:val="000000"/>
                <w:sz w:val="20"/>
              </w:rPr>
              <w:t>backend/app/product/provider.py</w:t>
            </w:r>
          </w:p>
        </w:tc>
        <w:tc>
          <w:tcPr>
            <w:tcW w:type="dxa" w:w="4406"/>
            <w:vAlign w:val="center"/>
          </w:tcPr>
          <w:p>
            <w:pPr>
              <w:spacing w:after="0" w:line="240" w:lineRule="auto"/>
              <w:jc w:val="left"/>
            </w:pPr>
            <w:r>
              <w:rPr>
                <w:rFonts w:ascii="Times New Roman" w:hAnsi="Times New Roman" w:eastAsia="Times New Roman"/>
                <w:b w:val="0"/>
                <w:i w:val="0"/>
                <w:color w:val="000000"/>
                <w:sz w:val="20"/>
              </w:rPr>
              <w:t>EXTRACTION instructions, strict schema request, current-message evidence and source-span candidates.</w:t>
            </w:r>
          </w:p>
        </w:tc>
      </w:tr>
      <w:tr>
        <w:trPr>
          <w:cantSplit/>
        </w:trPr>
        <w:tc>
          <w:tcPr>
            <w:tcW w:type="dxa" w:w="4608"/>
            <w:vAlign w:val="center"/>
          </w:tcPr>
          <w:p>
            <w:pPr>
              <w:spacing w:after="0" w:line="240" w:lineRule="auto"/>
              <w:jc w:val="left"/>
            </w:pPr>
            <w:r>
              <w:rPr>
                <w:rFonts w:ascii="Times New Roman" w:hAnsi="Times New Roman" w:eastAsia="Times New Roman"/>
                <w:b w:val="0"/>
                <w:i w:val="0"/>
                <w:color w:val="000000"/>
                <w:sz w:val="20"/>
              </w:rPr>
              <w:t>backend/app/product/intelligence.py</w:t>
            </w:r>
          </w:p>
        </w:tc>
        <w:tc>
          <w:tcPr>
            <w:tcW w:type="dxa" w:w="4406"/>
            <w:vAlign w:val="center"/>
          </w:tcPr>
          <w:p>
            <w:pPr>
              <w:spacing w:after="0" w:line="240" w:lineRule="auto"/>
              <w:jc w:val="left"/>
            </w:pPr>
            <w:r>
              <w:rPr>
                <w:rFonts w:ascii="Times New Roman" w:hAnsi="Times New Roman" w:eastAsia="Times New Roman"/>
                <w:b w:val="0"/>
                <w:i w:val="0"/>
                <w:color w:val="000000"/>
                <w:sz w:val="20"/>
              </w:rPr>
              <w:t>Plan/synthesis schemas and prompts; eligible targets; current sources; validation and language repair.</w:t>
            </w:r>
          </w:p>
        </w:tc>
      </w:tr>
      <w:tr>
        <w:trPr>
          <w:cantSplit/>
        </w:trPr>
        <w:tc>
          <w:tcPr>
            <w:tcW w:type="dxa" w:w="4608"/>
            <w:vAlign w:val="center"/>
          </w:tcPr>
          <w:p>
            <w:pPr>
              <w:spacing w:after="0" w:line="240" w:lineRule="auto"/>
              <w:jc w:val="left"/>
            </w:pPr>
            <w:r>
              <w:rPr>
                <w:rFonts w:ascii="Times New Roman" w:hAnsi="Times New Roman" w:eastAsia="Times New Roman"/>
                <w:b w:val="0"/>
                <w:i w:val="0"/>
                <w:color w:val="000000"/>
                <w:sz w:val="20"/>
              </w:rPr>
              <w:t>backend/app/product/pipeline.py</w:t>
            </w:r>
          </w:p>
        </w:tc>
        <w:tc>
          <w:tcPr>
            <w:tcW w:type="dxa" w:w="4406"/>
            <w:vAlign w:val="center"/>
          </w:tcPr>
          <w:p>
            <w:pPr>
              <w:spacing w:after="0" w:line="240" w:lineRule="auto"/>
              <w:jc w:val="left"/>
            </w:pPr>
            <w:r>
              <w:rPr>
                <w:rFonts w:ascii="Times New Roman" w:hAnsi="Times New Roman" w:eastAsia="Times New Roman"/>
                <w:b w:val="0"/>
                <w:i w:val="0"/>
                <w:color w:val="000000"/>
                <w:sz w:val="20"/>
              </w:rPr>
              <w:t>Batch limit, eligible questions, drafts, submission, stop rules and exceptional clarification round.</w:t>
            </w:r>
          </w:p>
        </w:tc>
      </w:tr>
      <w:tr>
        <w:trPr>
          <w:cantSplit/>
        </w:trPr>
        <w:tc>
          <w:tcPr>
            <w:tcW w:type="dxa" w:w="4608"/>
            <w:vAlign w:val="center"/>
          </w:tcPr>
          <w:p>
            <w:pPr>
              <w:spacing w:after="0" w:line="240" w:lineRule="auto"/>
              <w:jc w:val="left"/>
            </w:pPr>
            <w:r>
              <w:rPr>
                <w:rFonts w:ascii="Times New Roman" w:hAnsi="Times New Roman" w:eastAsia="Times New Roman"/>
                <w:b w:val="0"/>
                <w:i w:val="0"/>
                <w:color w:val="000000"/>
                <w:sz w:val="20"/>
              </w:rPr>
              <w:t>backend/app/product/engine.py</w:t>
            </w:r>
          </w:p>
        </w:tc>
        <w:tc>
          <w:tcPr>
            <w:tcW w:type="dxa" w:w="4406"/>
            <w:vAlign w:val="center"/>
          </w:tcPr>
          <w:p>
            <w:pPr>
              <w:spacing w:after="0" w:line="240" w:lineRule="auto"/>
              <w:jc w:val="left"/>
            </w:pPr>
            <w:r>
              <w:rPr>
                <w:rFonts w:ascii="Times New Roman" w:hAnsi="Times New Roman" w:eastAsia="Times New Roman"/>
                <w:b w:val="0"/>
                <w:i w:val="0"/>
                <w:color w:val="000000"/>
                <w:sz w:val="20"/>
              </w:rPr>
              <w:t>Five states, conditional applicability, evidence acceptance, history and equal-weight metrics.</w:t>
            </w:r>
          </w:p>
        </w:tc>
      </w:tr>
      <w:tr>
        <w:trPr>
          <w:cantSplit/>
        </w:trPr>
        <w:tc>
          <w:tcPr>
            <w:tcW w:type="dxa" w:w="4608"/>
            <w:vAlign w:val="center"/>
          </w:tcPr>
          <w:p>
            <w:pPr>
              <w:spacing w:after="0" w:line="240" w:lineRule="auto"/>
              <w:jc w:val="left"/>
            </w:pPr>
            <w:r>
              <w:rPr>
                <w:rFonts w:ascii="Times New Roman" w:hAnsi="Times New Roman" w:eastAsia="Times New Roman"/>
                <w:b w:val="0"/>
                <w:i w:val="0"/>
                <w:color w:val="000000"/>
                <w:sz w:val="20"/>
              </w:rPr>
              <w:t>backend/app/product/assessment.py</w:t>
            </w:r>
          </w:p>
        </w:tc>
        <w:tc>
          <w:tcPr>
            <w:tcW w:type="dxa" w:w="4406"/>
            <w:vAlign w:val="center"/>
          </w:tcPr>
          <w:p>
            <w:pPr>
              <w:spacing w:after="0" w:line="240" w:lineRule="auto"/>
              <w:jc w:val="left"/>
            </w:pPr>
            <w:r>
              <w:rPr>
                <w:rFonts w:ascii="Times New Roman" w:hAnsi="Times New Roman" w:eastAsia="Times New Roman"/>
                <w:b w:val="0"/>
                <w:i w:val="0"/>
                <w:color w:val="000000"/>
                <w:sz w:val="20"/>
              </w:rPr>
              <w:t>AssessmentOutput/PROMPT, source fingerprint, all-attachment handling and provisional output checks.</w:t>
            </w:r>
          </w:p>
        </w:tc>
      </w:tr>
      <w:tr>
        <w:trPr>
          <w:cantSplit/>
        </w:trPr>
        <w:tc>
          <w:tcPr>
            <w:tcW w:type="dxa" w:w="4608"/>
            <w:vAlign w:val="center"/>
          </w:tcPr>
          <w:p>
            <w:pPr>
              <w:spacing w:after="0" w:line="240" w:lineRule="auto"/>
              <w:jc w:val="left"/>
            </w:pPr>
            <w:r>
              <w:rPr>
                <w:rFonts w:ascii="Times New Roman" w:hAnsi="Times New Roman" w:eastAsia="Times New Roman"/>
                <w:b w:val="0"/>
                <w:i w:val="0"/>
                <w:color w:val="000000"/>
                <w:sz w:val="20"/>
              </w:rPr>
              <w:t>backend/app/product/auth.py; routes.py; database.py</w:t>
            </w:r>
          </w:p>
        </w:tc>
        <w:tc>
          <w:tcPr>
            <w:tcW w:type="dxa" w:w="4406"/>
            <w:vAlign w:val="center"/>
          </w:tcPr>
          <w:p>
            <w:pPr>
              <w:spacing w:after="0" w:line="240" w:lineRule="auto"/>
              <w:jc w:val="left"/>
            </w:pPr>
            <w:r>
              <w:rPr>
                <w:rFonts w:ascii="Times New Roman" w:hAnsi="Times New Roman" w:eastAsia="Times New Roman"/>
                <w:b w:val="0"/>
                <w:i w:val="0"/>
                <w:color w:val="000000"/>
                <w:sz w:val="20"/>
              </w:rPr>
              <w:t>Email-role/session boundaries, ownership, revision/approval and recipient access.</w:t>
            </w:r>
          </w:p>
        </w:tc>
      </w:tr>
      <w:tr>
        <w:trPr>
          <w:cantSplit/>
        </w:trPr>
        <w:tc>
          <w:tcPr>
            <w:tcW w:type="dxa" w:w="4608"/>
            <w:vAlign w:val="center"/>
          </w:tcPr>
          <w:p>
            <w:pPr>
              <w:spacing w:after="0" w:line="240" w:lineRule="auto"/>
              <w:jc w:val="left"/>
            </w:pPr>
            <w:r>
              <w:rPr>
                <w:rFonts w:ascii="Times New Roman" w:hAnsi="Times New Roman" w:eastAsia="Times New Roman"/>
                <w:b w:val="0"/>
                <w:i w:val="0"/>
                <w:color w:val="000000"/>
                <w:sz w:val="20"/>
              </w:rPr>
              <w:t>profiles.py; answer_history.py; locales.py; report_pdf.py in the same directory</w:t>
            </w:r>
          </w:p>
        </w:tc>
        <w:tc>
          <w:tcPr>
            <w:tcW w:type="dxa" w:w="4406"/>
            <w:vAlign w:val="center"/>
          </w:tcPr>
          <w:p>
            <w:pPr>
              <w:spacing w:after="0" w:line="240" w:lineRule="auto"/>
              <w:jc w:val="left"/>
            </w:pPr>
            <w:r>
              <w:rPr>
                <w:rFonts w:ascii="Times New Roman" w:hAnsi="Times New Roman" w:eastAsia="Times New Roman"/>
                <w:b w:val="0"/>
                <w:i w:val="0"/>
                <w:color w:val="000000"/>
                <w:sz w:val="20"/>
              </w:rPr>
              <w:t>Stable snapshots, dated suggestions, five-language instructions and complete local export.</w:t>
            </w:r>
          </w:p>
        </w:tc>
      </w:tr>
      <w:tr>
        <w:trPr>
          <w:cantSplit/>
        </w:trPr>
        <w:tc>
          <w:tcPr>
            <w:tcW w:type="dxa" w:w="4608"/>
            <w:vAlign w:val="center"/>
          </w:tcPr>
          <w:p>
            <w:pPr>
              <w:spacing w:after="0" w:line="240" w:lineRule="auto"/>
              <w:jc w:val="left"/>
            </w:pPr>
            <w:r>
              <w:rPr>
                <w:rFonts w:ascii="Times New Roman" w:hAnsi="Times New Roman" w:eastAsia="Times New Roman"/>
                <w:b w:val="0"/>
                <w:i w:val="0"/>
                <w:color w:val="000000"/>
                <w:sz w:val="20"/>
              </w:rPr>
              <w:t>frontend/src/product/Preparation.jsx; VoiceComposer.jsx; App.jsx</w:t>
            </w:r>
          </w:p>
        </w:tc>
        <w:tc>
          <w:tcPr>
            <w:tcW w:type="dxa" w:w="4406"/>
            <w:vAlign w:val="center"/>
          </w:tcPr>
          <w:p>
            <w:pPr>
              <w:spacing w:after="0" w:line="240" w:lineRule="auto"/>
              <w:jc w:val="left"/>
            </w:pPr>
            <w:r>
              <w:rPr>
                <w:rFonts w:ascii="Times New Roman" w:hAnsi="Times New Roman" w:eastAsia="Times New Roman"/>
                <w:b w:val="0"/>
                <w:i w:val="0"/>
                <w:color w:val="000000"/>
                <w:sz w:val="20"/>
              </w:rPr>
              <w:t>One-question preparation, Stop-to-text and authenticated patient/doctor routing.</w:t>
            </w:r>
          </w:p>
        </w:tc>
      </w:tr>
    </w:tbl>
    <w:p>
      <w:pPr>
        <w:widowControl/>
        <w:spacing w:after="140"/>
        <w:jc w:val="left"/>
      </w:pPr>
      <w:r>
        <w:rPr>
          <w:rFonts w:ascii="Times New Roman" w:hAnsi="Times New Roman" w:eastAsia="Times New Roman"/>
          <w:b w:val="0"/>
          <w:i/>
          <w:color w:val="000000"/>
          <w:sz w:val="20"/>
        </w:rPr>
        <w:t>Table A1. Prompt and implementation source map. Commit identity fixes the exact prompt text and schema versions used by this report.</w:t>
      </w:r>
    </w:p>
    <w:p>
      <w:pPr>
        <w:widowControl/>
        <w:jc w:val="both"/>
      </w:pPr>
      <w:r>
        <w:rPr>
          <w:rFonts w:ascii="Times New Roman" w:hAnsi="Times New Roman" w:eastAsia="Times New Roman"/>
          <w:b w:val="0"/>
          <w:i w:val="0"/>
          <w:color w:val="000000"/>
          <w:sz w:val="22"/>
        </w:rPr>
        <w:t>Synthetic manual scenarios are in output/testcases-2026-10-21: START-HERE.html and manual.pdf provide filling instructions; case01 and case02 contain fictional attachments; testcases.json and field-map.json provide structured inputs. These are demonstration fixtures, not clinical reference standards.</w:t>
      </w:r>
    </w:p>
    <w:p>
      <w:pPr>
        <w:pStyle w:val="Heading1"/>
        <w:pageBreakBefore/>
        <w:widowControl/>
        <w:jc w:val="left"/>
      </w:pPr>
      <w:r>
        <w:rPr>
          <w:rFonts w:ascii="Times New Roman" w:hAnsi="Times New Roman" w:eastAsia="Times New Roman"/>
          <w:b/>
          <w:i w:val="0"/>
          <w:color w:val="1F3864"/>
          <w:sz w:val="30"/>
        </w:rPr>
        <w:t>Appendix B Requirement traceability</w:t>
      </w:r>
    </w:p>
    <w:p>
      <w:pPr>
        <w:widowControl/>
        <w:jc w:val="both"/>
      </w:pPr>
      <w:r>
        <w:rPr>
          <w:rFonts w:ascii="Times New Roman" w:hAnsi="Times New Roman" w:eastAsia="Times New Roman"/>
          <w:b w:val="0"/>
          <w:i w:val="0"/>
          <w:color w:val="000000"/>
          <w:sz w:val="22"/>
        </w:rPr>
        <w:t>The identifiers below refer to the submitted proposal source [2]. “Implemented” describes code and tested behaviours, not a claim that the associated clinical goal has been validated.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1584"/>
        <w:gridCol w:w="7430"/>
      </w:tblGrid>
      <w:tr>
        <w:trPr>
          <w:cantSplit/>
          <w:tblHeader/>
        </w:trPr>
        <w:tc>
          <w:tcPr>
            <w:tcW w:type="dxa" w:w="1584"/>
            <w:vAlign w:val="center"/>
            <w:shd w:fill="D9E2F3"/>
          </w:tcPr>
          <w:p>
            <w:pPr>
              <w:spacing w:after="0" w:line="240" w:lineRule="auto"/>
              <w:jc w:val="left"/>
            </w:pPr>
            <w:r>
              <w:rPr>
                <w:rFonts w:ascii="Times New Roman" w:hAnsi="Times New Roman" w:eastAsia="Times New Roman"/>
                <w:b/>
                <w:i w:val="0"/>
                <w:color w:val="000000"/>
                <w:sz w:val="20"/>
              </w:rPr>
              <w:t>Proposal ID</w:t>
            </w:r>
          </w:p>
        </w:tc>
        <w:tc>
          <w:tcPr>
            <w:tcW w:type="dxa" w:w="7430"/>
            <w:vAlign w:val="center"/>
            <w:shd w:fill="D9E2F3"/>
          </w:tcPr>
          <w:p>
            <w:pPr>
              <w:spacing w:after="0" w:line="240" w:lineRule="auto"/>
              <w:jc w:val="left"/>
            </w:pPr>
            <w:r>
              <w:rPr>
                <w:rFonts w:ascii="Times New Roman" w:hAnsi="Times New Roman" w:eastAsia="Times New Roman"/>
                <w:b/>
                <w:i w:val="0"/>
                <w:color w:val="000000"/>
                <w:sz w:val="20"/>
              </w:rPr>
              <w:t>Delivery and evaluation status</w:t>
            </w:r>
          </w:p>
        </w:tc>
      </w:tr>
      <w:tr>
        <w:trPr>
          <w:cantSplit/>
        </w:trPr>
        <w:tc>
          <w:tcPr>
            <w:tcW w:type="dxa" w:w="1584"/>
            <w:vAlign w:val="center"/>
          </w:tcPr>
          <w:p>
            <w:pPr>
              <w:spacing w:after="0" w:line="240" w:lineRule="auto"/>
              <w:jc w:val="left"/>
            </w:pPr>
            <w:r>
              <w:rPr>
                <w:rFonts w:ascii="Times New Roman" w:hAnsi="Times New Roman" w:eastAsia="Times New Roman"/>
                <w:b w:val="0"/>
                <w:i w:val="0"/>
                <w:color w:val="000000"/>
                <w:sz w:val="20"/>
              </w:rPr>
              <w:t>FR01, FR02</w:t>
            </w:r>
          </w:p>
        </w:tc>
        <w:tc>
          <w:tcPr>
            <w:tcW w:type="dxa" w:w="7430"/>
            <w:vAlign w:val="center"/>
          </w:tcPr>
          <w:p>
            <w:pPr>
              <w:spacing w:after="0" w:line="240" w:lineRule="auto"/>
              <w:jc w:val="left"/>
            </w:pPr>
            <w:r>
              <w:rPr>
                <w:rFonts w:ascii="Times New Roman" w:hAnsi="Times New Roman" w:eastAsia="Times New Roman"/>
                <w:b w:val="0"/>
                <w:i w:val="0"/>
                <w:color w:val="000000"/>
                <w:sz w:val="20"/>
              </w:rPr>
              <w:t>Free narrative/custom chat, structured extraction and provenance implemented. Regression evidence exists; extraction F1 was not measured.</w:t>
            </w:r>
          </w:p>
        </w:tc>
      </w:tr>
      <w:tr>
        <w:trPr>
          <w:cantSplit/>
        </w:trPr>
        <w:tc>
          <w:tcPr>
            <w:tcW w:type="dxa" w:w="1584"/>
            <w:vAlign w:val="center"/>
          </w:tcPr>
          <w:p>
            <w:pPr>
              <w:spacing w:after="0" w:line="240" w:lineRule="auto"/>
              <w:jc w:val="left"/>
            </w:pPr>
            <w:r>
              <w:rPr>
                <w:rFonts w:ascii="Times New Roman" w:hAnsi="Times New Roman" w:eastAsia="Times New Roman"/>
                <w:b w:val="0"/>
                <w:i w:val="0"/>
                <w:color w:val="000000"/>
                <w:sz w:val="20"/>
              </w:rPr>
              <w:t>FR03, FR05</w:t>
            </w:r>
          </w:p>
        </w:tc>
        <w:tc>
          <w:tcPr>
            <w:tcW w:type="dxa" w:w="7430"/>
            <w:vAlign w:val="center"/>
          </w:tcPr>
          <w:p>
            <w:pPr>
              <w:spacing w:after="0" w:line="240" w:lineRule="auto"/>
              <w:jc w:val="left"/>
            </w:pPr>
            <w:r>
              <w:rPr>
                <w:rFonts w:ascii="Times New Roman" w:hAnsi="Times New Roman" w:eastAsia="Times New Roman"/>
                <w:b w:val="0"/>
                <w:i w:val="0"/>
                <w:color w:val="000000"/>
                <w:sz w:val="20"/>
              </w:rPr>
              <w:t>Five explicit states and conditional activation implemented and tested. No clinical disease inference is used to activate baseline fields.</w:t>
            </w:r>
          </w:p>
        </w:tc>
      </w:tr>
      <w:tr>
        <w:trPr>
          <w:cantSplit/>
        </w:trPr>
        <w:tc>
          <w:tcPr>
            <w:tcW w:type="dxa" w:w="1584"/>
            <w:vAlign w:val="center"/>
          </w:tcPr>
          <w:p>
            <w:pPr>
              <w:spacing w:after="0" w:line="240" w:lineRule="auto"/>
              <w:jc w:val="left"/>
            </w:pPr>
            <w:r>
              <w:rPr>
                <w:rFonts w:ascii="Times New Roman" w:hAnsi="Times New Roman" w:eastAsia="Times New Roman"/>
                <w:b w:val="0"/>
                <w:i w:val="0"/>
                <w:color w:val="000000"/>
                <w:sz w:val="20"/>
              </w:rPr>
              <w:t>FR04</w:t>
            </w:r>
          </w:p>
        </w:tc>
        <w:tc>
          <w:tcPr>
            <w:tcW w:type="dxa" w:w="7430"/>
            <w:vAlign w:val="center"/>
          </w:tcPr>
          <w:p>
            <w:pPr>
              <w:spacing w:after="0" w:line="240" w:lineRule="auto"/>
              <w:jc w:val="left"/>
            </w:pPr>
            <w:r>
              <w:rPr>
                <w:rFonts w:ascii="Times New Roman" w:hAnsi="Times New Roman" w:eastAsia="Times New Roman"/>
                <w:b w:val="0"/>
                <w:i w:val="0"/>
                <w:color w:val="000000"/>
                <w:sz w:val="20"/>
              </w:rPr>
              <w:t>Partially refined: equal-weight coverage/resolution implemented; proposed weighting and matched-coverage comparison not delivered.</w:t>
            </w:r>
          </w:p>
        </w:tc>
      </w:tr>
      <w:tr>
        <w:trPr>
          <w:cantSplit/>
        </w:trPr>
        <w:tc>
          <w:tcPr>
            <w:tcW w:type="dxa" w:w="1584"/>
            <w:vAlign w:val="center"/>
          </w:tcPr>
          <w:p>
            <w:pPr>
              <w:spacing w:after="0" w:line="240" w:lineRule="auto"/>
              <w:jc w:val="left"/>
            </w:pPr>
            <w:r>
              <w:rPr>
                <w:rFonts w:ascii="Times New Roman" w:hAnsi="Times New Roman" w:eastAsia="Times New Roman"/>
                <w:b w:val="0"/>
                <w:i w:val="0"/>
                <w:color w:val="000000"/>
                <w:sz w:val="20"/>
              </w:rPr>
              <w:t>FR06</w:t>
            </w:r>
          </w:p>
        </w:tc>
        <w:tc>
          <w:tcPr>
            <w:tcW w:type="dxa" w:w="7430"/>
            <w:vAlign w:val="center"/>
          </w:tcPr>
          <w:p>
            <w:pPr>
              <w:spacing w:after="0" w:line="240" w:lineRule="auto"/>
              <w:jc w:val="left"/>
            </w:pPr>
            <w:r>
              <w:rPr>
                <w:rFonts w:ascii="Times New Roman" w:hAnsi="Times New Roman" w:eastAsia="Times New Roman"/>
                <w:b w:val="0"/>
                <w:i w:val="0"/>
                <w:color w:val="000000"/>
                <w:sz w:val="20"/>
              </w:rPr>
              <w:t>Refined: deterministic eligibility and target validation; model chooses within eligible targets. Not a fully deterministic weighted priority winner.</w:t>
            </w:r>
          </w:p>
        </w:tc>
      </w:tr>
      <w:tr>
        <w:trPr>
          <w:cantSplit/>
        </w:trPr>
        <w:tc>
          <w:tcPr>
            <w:tcW w:type="dxa" w:w="1584"/>
            <w:vAlign w:val="center"/>
          </w:tcPr>
          <w:p>
            <w:pPr>
              <w:spacing w:after="0" w:line="240" w:lineRule="auto"/>
              <w:jc w:val="left"/>
            </w:pPr>
            <w:r>
              <w:rPr>
                <w:rFonts w:ascii="Times New Roman" w:hAnsi="Times New Roman" w:eastAsia="Times New Roman"/>
                <w:b w:val="0"/>
                <w:i w:val="0"/>
                <w:color w:val="000000"/>
                <w:sz w:val="20"/>
              </w:rPr>
              <w:t>FR07, FR13</w:t>
            </w:r>
          </w:p>
        </w:tc>
        <w:tc>
          <w:tcPr>
            <w:tcW w:type="dxa" w:w="7430"/>
            <w:vAlign w:val="center"/>
          </w:tcPr>
          <w:p>
            <w:pPr>
              <w:spacing w:after="0" w:line="240" w:lineRule="auto"/>
              <w:jc w:val="left"/>
            </w:pPr>
            <w:r>
              <w:rPr>
                <w:rFonts w:ascii="Times New Roman" w:hAnsi="Times New Roman" w:eastAsia="Times New Roman"/>
                <w:b w:val="0"/>
                <w:i w:val="0"/>
                <w:color w:val="000000"/>
                <w:sz w:val="20"/>
              </w:rPr>
              <w:t>Correction, unknown, refusal and finish actions implemented. Declined/uncertain fields do not count as filled coverage or trigger routine repeated questions.</w:t>
            </w:r>
          </w:p>
        </w:tc>
      </w:tr>
      <w:tr>
        <w:trPr>
          <w:cantSplit/>
        </w:trPr>
        <w:tc>
          <w:tcPr>
            <w:tcW w:type="dxa" w:w="1584"/>
            <w:vAlign w:val="center"/>
          </w:tcPr>
          <w:p>
            <w:pPr>
              <w:spacing w:after="0" w:line="240" w:lineRule="auto"/>
              <w:jc w:val="left"/>
            </w:pPr>
            <w:r>
              <w:rPr>
                <w:rFonts w:ascii="Times New Roman" w:hAnsi="Times New Roman" w:eastAsia="Times New Roman"/>
                <w:b w:val="0"/>
                <w:i w:val="0"/>
                <w:color w:val="000000"/>
                <w:sz w:val="20"/>
              </w:rPr>
              <w:t>FR08, FR14</w:t>
            </w:r>
          </w:p>
        </w:tc>
        <w:tc>
          <w:tcPr>
            <w:tcW w:type="dxa" w:w="7430"/>
            <w:vAlign w:val="center"/>
          </w:tcPr>
          <w:p>
            <w:pPr>
              <w:spacing w:after="0" w:line="240" w:lineRule="auto"/>
              <w:jc w:val="left"/>
            </w:pPr>
            <w:r>
              <w:rPr>
                <w:rFonts w:ascii="Times New Roman" w:hAnsi="Times New Roman" w:eastAsia="Times New Roman"/>
                <w:b w:val="0"/>
                <w:i w:val="0"/>
                <w:color w:val="000000"/>
                <w:sz w:val="20"/>
              </w:rPr>
              <w:t>Cited summaries and source checks implemented. Controlled fault audit shows protection and a semantic entailment failure.</w:t>
            </w:r>
          </w:p>
        </w:tc>
      </w:tr>
      <w:tr>
        <w:trPr>
          <w:cantSplit/>
        </w:trPr>
        <w:tc>
          <w:tcPr>
            <w:tcW w:type="dxa" w:w="1584"/>
            <w:vAlign w:val="center"/>
          </w:tcPr>
          <w:p>
            <w:pPr>
              <w:spacing w:after="0" w:line="240" w:lineRule="auto"/>
              <w:jc w:val="left"/>
            </w:pPr>
            <w:r>
              <w:rPr>
                <w:rFonts w:ascii="Times New Roman" w:hAnsi="Times New Roman" w:eastAsia="Times New Roman"/>
                <w:b w:val="0"/>
                <w:i w:val="0"/>
                <w:color w:val="000000"/>
                <w:sz w:val="20"/>
              </w:rPr>
              <w:t>FR09</w:t>
            </w:r>
          </w:p>
        </w:tc>
        <w:tc>
          <w:tcPr>
            <w:tcW w:type="dxa" w:w="7430"/>
            <w:vAlign w:val="center"/>
          </w:tcPr>
          <w:p>
            <w:pPr>
              <w:spacing w:after="0" w:line="240" w:lineRule="auto"/>
              <w:jc w:val="left"/>
            </w:pPr>
            <w:r>
              <w:rPr>
                <w:rFonts w:ascii="Times New Roman" w:hAnsi="Times New Roman" w:eastAsia="Times New Roman"/>
                <w:b w:val="0"/>
                <w:i w:val="0"/>
                <w:color w:val="000000"/>
                <w:sz w:val="20"/>
              </w:rPr>
              <w:t>Predefined rule-based interruption exists. Patterns and language coverage have not been clinically validated as triage.</w:t>
            </w:r>
          </w:p>
        </w:tc>
      </w:tr>
      <w:tr>
        <w:trPr>
          <w:cantSplit/>
        </w:trPr>
        <w:tc>
          <w:tcPr>
            <w:tcW w:type="dxa" w:w="1584"/>
            <w:vAlign w:val="center"/>
          </w:tcPr>
          <w:p>
            <w:pPr>
              <w:spacing w:after="0" w:line="240" w:lineRule="auto"/>
              <w:jc w:val="left"/>
            </w:pPr>
            <w:r>
              <w:rPr>
                <w:rFonts w:ascii="Times New Roman" w:hAnsi="Times New Roman" w:eastAsia="Times New Roman"/>
                <w:b w:val="0"/>
                <w:i w:val="0"/>
                <w:color w:val="000000"/>
                <w:sz w:val="20"/>
              </w:rPr>
              <w:t>FR10</w:t>
            </w:r>
          </w:p>
        </w:tc>
        <w:tc>
          <w:tcPr>
            <w:tcW w:type="dxa" w:w="7430"/>
            <w:vAlign w:val="center"/>
          </w:tcPr>
          <w:p>
            <w:pPr>
              <w:spacing w:after="0" w:line="240" w:lineRule="auto"/>
              <w:jc w:val="left"/>
            </w:pPr>
            <w:r>
              <w:rPr>
                <w:rFonts w:ascii="Times New Roman" w:hAnsi="Times New Roman" w:eastAsia="Times New Roman"/>
                <w:b w:val="0"/>
                <w:i w:val="0"/>
                <w:color w:val="000000"/>
                <w:sz w:val="20"/>
              </w:rPr>
              <w:t>Model/operation/source/state tracing exists. Complete token-cost accounting and a frozen quality-evaluation manifest were not established.</w:t>
            </w:r>
          </w:p>
        </w:tc>
      </w:tr>
      <w:tr>
        <w:trPr>
          <w:cantSplit/>
        </w:trPr>
        <w:tc>
          <w:tcPr>
            <w:tcW w:type="dxa" w:w="1584"/>
            <w:vAlign w:val="center"/>
          </w:tcPr>
          <w:p>
            <w:pPr>
              <w:spacing w:after="0" w:line="240" w:lineRule="auto"/>
              <w:jc w:val="left"/>
            </w:pPr>
            <w:r>
              <w:rPr>
                <w:rFonts w:ascii="Times New Roman" w:hAnsi="Times New Roman" w:eastAsia="Times New Roman"/>
                <w:b w:val="0"/>
                <w:i w:val="0"/>
                <w:color w:val="000000"/>
                <w:sz w:val="20"/>
              </w:rPr>
              <w:t>FR11</w:t>
            </w:r>
          </w:p>
        </w:tc>
        <w:tc>
          <w:tcPr>
            <w:tcW w:type="dxa" w:w="7430"/>
            <w:vAlign w:val="center"/>
          </w:tcPr>
          <w:p>
            <w:pPr>
              <w:spacing w:after="0" w:line="240" w:lineRule="auto"/>
              <w:jc w:val="left"/>
            </w:pPr>
            <w:r>
              <w:rPr>
                <w:rFonts w:ascii="Times New Roman" w:hAnsi="Times New Roman" w:eastAsia="Times New Roman"/>
                <w:b w:val="0"/>
                <w:i w:val="0"/>
                <w:color w:val="000000"/>
                <w:sz w:val="20"/>
              </w:rPr>
              <w:t>Responsive patient journey and approved clinician handoff delivered, with selected browser checks.</w:t>
            </w:r>
          </w:p>
        </w:tc>
      </w:tr>
      <w:tr>
        <w:trPr>
          <w:cantSplit/>
        </w:trPr>
        <w:tc>
          <w:tcPr>
            <w:tcW w:type="dxa" w:w="1584"/>
            <w:vAlign w:val="center"/>
          </w:tcPr>
          <w:p>
            <w:pPr>
              <w:spacing w:after="0" w:line="240" w:lineRule="auto"/>
              <w:jc w:val="left"/>
            </w:pPr>
            <w:r>
              <w:rPr>
                <w:rFonts w:ascii="Times New Roman" w:hAnsi="Times New Roman" w:eastAsia="Times New Roman"/>
                <w:b w:val="0"/>
                <w:i w:val="0"/>
                <w:color w:val="000000"/>
                <w:sz w:val="20"/>
              </w:rPr>
              <w:t>FR12</w:t>
            </w:r>
          </w:p>
        </w:tc>
        <w:tc>
          <w:tcPr>
            <w:tcW w:type="dxa" w:w="7430"/>
            <w:vAlign w:val="center"/>
          </w:tcPr>
          <w:p>
            <w:pPr>
              <w:spacing w:after="0" w:line="240" w:lineRule="auto"/>
              <w:jc w:val="left"/>
            </w:pPr>
            <w:r>
              <w:rPr>
                <w:rFonts w:ascii="Times New Roman" w:hAnsi="Times New Roman" w:eastAsia="Times New Roman"/>
                <w:b w:val="0"/>
                <w:i w:val="0"/>
                <w:color w:val="000000"/>
                <w:sz w:val="20"/>
              </w:rPr>
              <w:t>Factual core retains preparation scope. Optional diagnostic possibilities, urgency and guidance extend the original boundary and require separate evaluation.</w:t>
            </w:r>
          </w:p>
        </w:tc>
      </w:tr>
      <w:tr>
        <w:trPr>
          <w:cantSplit/>
        </w:trPr>
        <w:tc>
          <w:tcPr>
            <w:tcW w:type="dxa" w:w="1584"/>
            <w:vAlign w:val="center"/>
          </w:tcPr>
          <w:p>
            <w:pPr>
              <w:spacing w:after="0" w:line="240" w:lineRule="auto"/>
              <w:jc w:val="left"/>
            </w:pPr>
            <w:r>
              <w:rPr>
                <w:rFonts w:ascii="Times New Roman" w:hAnsi="Times New Roman" w:eastAsia="Times New Roman"/>
                <w:b w:val="0"/>
                <w:i w:val="0"/>
                <w:color w:val="000000"/>
                <w:sz w:val="20"/>
              </w:rPr>
              <w:t>FR15</w:t>
            </w:r>
          </w:p>
        </w:tc>
        <w:tc>
          <w:tcPr>
            <w:tcW w:type="dxa" w:w="7430"/>
            <w:vAlign w:val="center"/>
          </w:tcPr>
          <w:p>
            <w:pPr>
              <w:spacing w:after="0" w:line="240" w:lineRule="auto"/>
              <w:jc w:val="left"/>
            </w:pPr>
            <w:r>
              <w:rPr>
                <w:rFonts w:ascii="Times New Roman" w:hAnsi="Times New Roman" w:eastAsia="Times New Roman"/>
                <w:b w:val="0"/>
                <w:i w:val="0"/>
                <w:color w:val="000000"/>
                <w:sz w:val="20"/>
              </w:rPr>
              <w:t>Version-specific review, approval, correction/regeneration and revocation delivered and covered by access tests.</w:t>
            </w:r>
          </w:p>
        </w:tc>
      </w:tr>
      <w:tr>
        <w:trPr>
          <w:cantSplit/>
        </w:trPr>
        <w:tc>
          <w:tcPr>
            <w:tcW w:type="dxa" w:w="1584"/>
            <w:vAlign w:val="center"/>
          </w:tcPr>
          <w:p>
            <w:pPr>
              <w:spacing w:after="0" w:line="240" w:lineRule="auto"/>
              <w:jc w:val="left"/>
            </w:pPr>
            <w:r>
              <w:rPr>
                <w:rFonts w:ascii="Times New Roman" w:hAnsi="Times New Roman" w:eastAsia="Times New Roman"/>
                <w:b w:val="0"/>
                <w:i w:val="0"/>
                <w:color w:val="000000"/>
                <w:sz w:val="20"/>
              </w:rPr>
              <w:t>NFR01</w:t>
            </w:r>
          </w:p>
        </w:tc>
        <w:tc>
          <w:tcPr>
            <w:tcW w:type="dxa" w:w="7430"/>
            <w:vAlign w:val="center"/>
          </w:tcPr>
          <w:p>
            <w:pPr>
              <w:spacing w:after="0" w:line="240" w:lineRule="auto"/>
              <w:jc w:val="left"/>
            </w:pPr>
            <w:r>
              <w:rPr>
                <w:rFonts w:ascii="Times New Roman" w:hAnsi="Times New Roman" w:eastAsia="Times New Roman"/>
                <w:b w:val="0"/>
                <w:i w:val="0"/>
                <w:color w:val="000000"/>
                <w:sz w:val="20"/>
              </w:rPr>
              <w:t>Proposed p50 ≤2.5 s and p95 ≤5 s targets not measured. Request timeouts and test-suite duration do not verify them.</w:t>
            </w:r>
          </w:p>
        </w:tc>
      </w:tr>
      <w:tr>
        <w:trPr>
          <w:cantSplit/>
        </w:trPr>
        <w:tc>
          <w:tcPr>
            <w:tcW w:type="dxa" w:w="1584"/>
            <w:vAlign w:val="center"/>
          </w:tcPr>
          <w:p>
            <w:pPr>
              <w:spacing w:after="0" w:line="240" w:lineRule="auto"/>
              <w:jc w:val="left"/>
            </w:pPr>
            <w:r>
              <w:rPr>
                <w:rFonts w:ascii="Times New Roman" w:hAnsi="Times New Roman" w:eastAsia="Times New Roman"/>
                <w:b w:val="0"/>
                <w:i w:val="0"/>
                <w:color w:val="000000"/>
                <w:sz w:val="20"/>
              </w:rPr>
              <w:t>NFR02</w:t>
            </w:r>
          </w:p>
        </w:tc>
        <w:tc>
          <w:tcPr>
            <w:tcW w:type="dxa" w:w="7430"/>
            <w:vAlign w:val="center"/>
          </w:tcPr>
          <w:p>
            <w:pPr>
              <w:spacing w:after="0" w:line="240" w:lineRule="auto"/>
              <w:jc w:val="left"/>
            </w:pPr>
            <w:r>
              <w:rPr>
                <w:rFonts w:ascii="Times New Roman" w:hAnsi="Times New Roman" w:eastAsia="Times New Roman"/>
                <w:b w:val="0"/>
                <w:i w:val="0"/>
                <w:color w:val="000000"/>
                <w:sz w:val="20"/>
              </w:rPr>
              <w:t>Deterministic core regression-tested; reproducible source cut recorded. Provider responses remain nondeterministic.</w:t>
            </w:r>
          </w:p>
        </w:tc>
      </w:tr>
      <w:tr>
        <w:trPr>
          <w:cantSplit/>
        </w:trPr>
        <w:tc>
          <w:tcPr>
            <w:tcW w:type="dxa" w:w="1584"/>
            <w:vAlign w:val="center"/>
          </w:tcPr>
          <w:p>
            <w:pPr>
              <w:spacing w:after="0" w:line="240" w:lineRule="auto"/>
              <w:jc w:val="left"/>
            </w:pPr>
            <w:r>
              <w:rPr>
                <w:rFonts w:ascii="Times New Roman" w:hAnsi="Times New Roman" w:eastAsia="Times New Roman"/>
                <w:b w:val="0"/>
                <w:i w:val="0"/>
                <w:color w:val="000000"/>
                <w:sz w:val="20"/>
              </w:rPr>
              <w:t>NFR03</w:t>
            </w:r>
          </w:p>
        </w:tc>
        <w:tc>
          <w:tcPr>
            <w:tcW w:type="dxa" w:w="7430"/>
            <w:vAlign w:val="center"/>
          </w:tcPr>
          <w:p>
            <w:pPr>
              <w:spacing w:after="0" w:line="240" w:lineRule="auto"/>
              <w:jc w:val="left"/>
            </w:pPr>
            <w:r>
              <w:rPr>
                <w:rFonts w:ascii="Times New Roman" w:hAnsi="Times New Roman" w:eastAsia="Times New Roman"/>
                <w:b w:val="0"/>
                <w:i w:val="0"/>
                <w:color w:val="000000"/>
                <w:sz w:val="20"/>
              </w:rPr>
              <w:t>Synthetic evaluation and privacy/access controls delivered. No real clinical deployment or data-governance validation.</w:t>
            </w:r>
          </w:p>
        </w:tc>
      </w:tr>
      <w:tr>
        <w:trPr>
          <w:cantSplit/>
        </w:trPr>
        <w:tc>
          <w:tcPr>
            <w:tcW w:type="dxa" w:w="1584"/>
            <w:vAlign w:val="center"/>
          </w:tcPr>
          <w:p>
            <w:pPr>
              <w:spacing w:after="0" w:line="240" w:lineRule="auto"/>
              <w:jc w:val="left"/>
            </w:pPr>
            <w:r>
              <w:rPr>
                <w:rFonts w:ascii="Times New Roman" w:hAnsi="Times New Roman" w:eastAsia="Times New Roman"/>
                <w:b w:val="0"/>
                <w:i w:val="0"/>
                <w:color w:val="000000"/>
                <w:sz w:val="20"/>
              </w:rPr>
              <w:t>NFR04</w:t>
            </w:r>
          </w:p>
        </w:tc>
        <w:tc>
          <w:tcPr>
            <w:tcW w:type="dxa" w:w="7430"/>
            <w:vAlign w:val="center"/>
          </w:tcPr>
          <w:p>
            <w:pPr>
              <w:spacing w:after="0" w:line="240" w:lineRule="auto"/>
              <w:jc w:val="left"/>
            </w:pPr>
            <w:r>
              <w:rPr>
                <w:rFonts w:ascii="Times New Roman" w:hAnsi="Times New Roman" w:eastAsia="Times New Roman"/>
                <w:b w:val="0"/>
                <w:i w:val="0"/>
                <w:color w:val="000000"/>
                <w:sz w:val="20"/>
              </w:rPr>
              <w:t>Context and output bounded; alternatives configurable. Empirical token-cost accounting not completed.</w:t>
            </w:r>
          </w:p>
        </w:tc>
      </w:tr>
      <w:tr>
        <w:trPr>
          <w:cantSplit/>
        </w:trPr>
        <w:tc>
          <w:tcPr>
            <w:tcW w:type="dxa" w:w="1584"/>
            <w:vAlign w:val="center"/>
          </w:tcPr>
          <w:p>
            <w:pPr>
              <w:spacing w:after="0" w:line="240" w:lineRule="auto"/>
              <w:jc w:val="left"/>
            </w:pPr>
            <w:r>
              <w:rPr>
                <w:rFonts w:ascii="Times New Roman" w:hAnsi="Times New Roman" w:eastAsia="Times New Roman"/>
                <w:b w:val="0"/>
                <w:i w:val="0"/>
                <w:color w:val="000000"/>
                <w:sz w:val="20"/>
              </w:rPr>
              <w:t>NFR05</w:t>
            </w:r>
          </w:p>
        </w:tc>
        <w:tc>
          <w:tcPr>
            <w:tcW w:type="dxa" w:w="7430"/>
            <w:vAlign w:val="center"/>
          </w:tcPr>
          <w:p>
            <w:pPr>
              <w:spacing w:after="0" w:line="240" w:lineRule="auto"/>
              <w:jc w:val="left"/>
            </w:pPr>
            <w:r>
              <w:rPr>
                <w:rFonts w:ascii="Times New Roman" w:hAnsi="Times New Roman" w:eastAsia="Times New Roman"/>
                <w:b w:val="0"/>
                <w:i w:val="0"/>
                <w:color w:val="000000"/>
                <w:sz w:val="20"/>
              </w:rPr>
              <w:t>Wizard, voice, responsive layout and five locales implemented. Selected axe scans passed; human usability/translation studies not completed.</w:t>
            </w:r>
          </w:p>
        </w:tc>
      </w:tr>
      <w:tr>
        <w:trPr>
          <w:cantSplit/>
        </w:trPr>
        <w:tc>
          <w:tcPr>
            <w:tcW w:type="dxa" w:w="1584"/>
            <w:vAlign w:val="center"/>
          </w:tcPr>
          <w:p>
            <w:pPr>
              <w:spacing w:after="0" w:line="240" w:lineRule="auto"/>
              <w:jc w:val="left"/>
            </w:pPr>
            <w:r>
              <w:rPr>
                <w:rFonts w:ascii="Times New Roman" w:hAnsi="Times New Roman" w:eastAsia="Times New Roman"/>
                <w:b w:val="0"/>
                <w:i w:val="0"/>
                <w:color w:val="000000"/>
                <w:sz w:val="20"/>
              </w:rPr>
              <w:t>NFR06</w:t>
            </w:r>
          </w:p>
        </w:tc>
        <w:tc>
          <w:tcPr>
            <w:tcW w:type="dxa" w:w="7430"/>
            <w:vAlign w:val="center"/>
          </w:tcPr>
          <w:p>
            <w:pPr>
              <w:spacing w:after="0" w:line="240" w:lineRule="auto"/>
              <w:jc w:val="left"/>
            </w:pPr>
            <w:r>
              <w:rPr>
                <w:rFonts w:ascii="Times New Roman" w:hAnsi="Times New Roman" w:eastAsia="Times New Roman"/>
                <w:b w:val="0"/>
                <w:i w:val="0"/>
                <w:color w:val="000000"/>
                <w:sz w:val="20"/>
              </w:rPr>
              <w:t>Schema, source and target restrictions tested. Prompt-injection resistance and semantic correctness are not proven complete.</w:t>
            </w:r>
          </w:p>
        </w:tc>
      </w:tr>
    </w:tbl>
    <w:p>
      <w:pPr>
        <w:widowControl/>
        <w:spacing w:after="140"/>
        <w:jc w:val="left"/>
      </w:pPr>
      <w:r>
        <w:rPr>
          <w:rFonts w:ascii="Times New Roman" w:hAnsi="Times New Roman" w:eastAsia="Times New Roman"/>
          <w:b w:val="0"/>
          <w:i/>
          <w:color w:val="000000"/>
          <w:sz w:val="20"/>
        </w:rPr>
        <w:t>Table B1. Proposal-to-implementation mapping with explicit partial and unverified outcomes.</w:t>
      </w:r>
    </w:p>
    <w:p>
      <w:pPr>
        <w:widowControl/>
        <w:jc w:val="both"/>
      </w:pPr>
      <w:r>
        <w:rPr>
          <w:rFonts w:ascii="Times New Roman" w:hAnsi="Times New Roman" w:eastAsia="Times New Roman"/>
          <w:b w:val="0"/>
          <w:i w:val="0"/>
          <w:color w:val="000000"/>
          <w:sz w:val="22"/>
        </w:rPr>
        <w:t>The physician-facing dashboard extends the proposal’s optional read-only handoff. The separately generated assessment changes the output scope more substantially. This report identifies both changes and does not represent preliminary diagnoses as facts supplied by the patient or as verified clinical findings.</w:t>
      </w:r>
    </w:p>
    <w:p>
      <w:pPr>
        <w:pStyle w:val="Heading1"/>
        <w:pageBreakBefore/>
        <w:widowControl/>
        <w:jc w:val="left"/>
      </w:pPr>
      <w:r>
        <w:rPr>
          <w:rFonts w:ascii="Times New Roman" w:hAnsi="Times New Roman" w:eastAsia="Times New Roman"/>
          <w:b/>
          <w:i w:val="0"/>
          <w:color w:val="1F3864"/>
          <w:sz w:val="30"/>
        </w:rPr>
        <w:t>Appendix C Controlled validator experiment</w:t>
      </w:r>
    </w:p>
    <w:p>
      <w:pPr>
        <w:widowControl/>
        <w:jc w:val="both"/>
      </w:pPr>
      <w:r>
        <w:rPr>
          <w:rFonts w:ascii="Times New Roman" w:hAnsi="Times New Roman" w:eastAsia="Times New Roman"/>
          <w:b w:val="0"/>
          <w:i w:val="0"/>
          <w:color w:val="000000"/>
          <w:sz w:val="22"/>
        </w:rPr>
        <w:t>V0 implements the object/array/string constraints of SYNTHESIS_SCHEMA, including required keys and additionalProperties. V1 calls validate_synthesis with the same inputs and locale. A returned object counts as accepted; IntelligenceUnavailable counts as rejected. The comparison is deterministic, offline and purpose-built. It contains no model-generated samples and makes no inference about population error rates.</w:t>
      </w:r>
    </w:p>
    <w:p>
      <w:pPr>
        <w:widowControl/>
        <w:jc w:val="both"/>
      </w:pPr>
      <w:r>
        <w:rPr>
          <w:rFonts w:ascii="Times New Roman" w:hAnsi="Times New Roman" w:eastAsia="Times New Roman"/>
          <w:b w:val="0"/>
          <w:i w:val="0"/>
          <w:color w:val="000000"/>
          <w:sz w:val="22"/>
        </w:rPr>
        <w:t>Base sources are src_pain (c1, FILLED, “Leg pain for 3 days.”), src_negative (session, FILLED, “No medicines.”), src_unknown (session, UNCERTAIN, “I am unsure about allergies.”), src_skip (session, SKIPPED, null) and src_other (c2, MISSING, null). The supplied concern is c1, title Leg pain, workflow WF-01. Unless changed, locale is en. The base overview and c1 summary both repeat the pain source and cite only src_pain; clinician_brief, appointment_agenda and uncertainties are empty arrays.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1728"/>
        <w:gridCol w:w="5544"/>
        <w:gridCol w:w="1742"/>
      </w:tblGrid>
      <w:tr>
        <w:trPr>
          <w:cantSplit/>
          <w:tblHeader/>
        </w:trPr>
        <w:tc>
          <w:tcPr>
            <w:tcW w:type="dxa" w:w="1728"/>
            <w:vAlign w:val="center"/>
            <w:shd w:fill="D9E2F3"/>
          </w:tcPr>
          <w:p>
            <w:pPr>
              <w:spacing w:after="0" w:line="240" w:lineRule="auto"/>
              <w:jc w:val="left"/>
            </w:pPr>
            <w:r>
              <w:rPr>
                <w:rFonts w:ascii="Times New Roman" w:hAnsi="Times New Roman" w:eastAsia="Times New Roman"/>
                <w:b/>
                <w:i w:val="0"/>
                <w:color w:val="000000"/>
                <w:sz w:val="20"/>
              </w:rPr>
              <w:t>Case</w:t>
            </w:r>
          </w:p>
        </w:tc>
        <w:tc>
          <w:tcPr>
            <w:tcW w:type="dxa" w:w="5544"/>
            <w:vAlign w:val="center"/>
            <w:shd w:fill="D9E2F3"/>
          </w:tcPr>
          <w:p>
            <w:pPr>
              <w:spacing w:after="0" w:line="240" w:lineRule="auto"/>
              <w:jc w:val="left"/>
            </w:pPr>
            <w:r>
              <w:rPr>
                <w:rFonts w:ascii="Times New Roman" w:hAnsi="Times New Roman" w:eastAsia="Times New Roman"/>
                <w:b/>
                <w:i w:val="0"/>
                <w:color w:val="000000"/>
                <w:sz w:val="20"/>
              </w:rPr>
              <w:t>Change from base</w:t>
            </w:r>
          </w:p>
        </w:tc>
        <w:tc>
          <w:tcPr>
            <w:tcW w:type="dxa" w:w="1742"/>
            <w:vAlign w:val="center"/>
            <w:shd w:fill="D9E2F3"/>
          </w:tcPr>
          <w:p>
            <w:pPr>
              <w:spacing w:after="0" w:line="240" w:lineRule="auto"/>
              <w:jc w:val="left"/>
            </w:pPr>
            <w:r>
              <w:rPr>
                <w:rFonts w:ascii="Times New Roman" w:hAnsi="Times New Roman" w:eastAsia="Times New Roman"/>
                <w:b/>
                <w:i w:val="0"/>
                <w:color w:val="000000"/>
                <w:sz w:val="20"/>
              </w:rPr>
              <w:t>V0 / V1</w:t>
            </w:r>
          </w:p>
        </w:tc>
      </w:tr>
      <w:tr>
        <w:trPr>
          <w:cantSplit/>
        </w:trPr>
        <w:tc>
          <w:tcPr>
            <w:tcW w:type="dxa" w:w="1728"/>
            <w:vAlign w:val="center"/>
          </w:tcPr>
          <w:p>
            <w:pPr>
              <w:spacing w:after="0" w:line="240" w:lineRule="auto"/>
              <w:jc w:val="left"/>
            </w:pPr>
            <w:r>
              <w:rPr>
                <w:rFonts w:ascii="Times New Roman" w:hAnsi="Times New Roman" w:eastAsia="Times New Roman"/>
                <w:b w:val="0"/>
                <w:i w:val="0"/>
                <w:color w:val="000000"/>
                <w:sz w:val="20"/>
              </w:rPr>
              <w:t>Valid supported</w:t>
            </w:r>
          </w:p>
        </w:tc>
        <w:tc>
          <w:tcPr>
            <w:tcW w:type="dxa" w:w="5544"/>
            <w:vAlign w:val="center"/>
          </w:tcPr>
          <w:p>
            <w:pPr>
              <w:spacing w:after="0" w:line="240" w:lineRule="auto"/>
              <w:jc w:val="left"/>
            </w:pPr>
            <w:r>
              <w:rPr>
                <w:rFonts w:ascii="Times New Roman" w:hAnsi="Times New Roman" w:eastAsia="Times New Roman"/>
                <w:b w:val="0"/>
                <w:i w:val="0"/>
                <w:color w:val="000000"/>
                <w:sz w:val="20"/>
              </w:rPr>
              <w:t>None.</w:t>
            </w:r>
          </w:p>
        </w:tc>
        <w:tc>
          <w:tcPr>
            <w:tcW w:type="dxa" w:w="1742"/>
            <w:vAlign w:val="center"/>
          </w:tcPr>
          <w:p>
            <w:pPr>
              <w:spacing w:after="0" w:line="240" w:lineRule="auto"/>
              <w:jc w:val="left"/>
            </w:pPr>
            <w:r>
              <w:rPr>
                <w:rFonts w:ascii="Times New Roman" w:hAnsi="Times New Roman" w:eastAsia="Times New Roman"/>
                <w:b w:val="0"/>
                <w:i w:val="0"/>
                <w:color w:val="000000"/>
                <w:sz w:val="20"/>
              </w:rPr>
              <w:t>Accept / Accept</w:t>
            </w:r>
          </w:p>
        </w:tc>
      </w:tr>
      <w:tr>
        <w:trPr>
          <w:cantSplit/>
        </w:trPr>
        <w:tc>
          <w:tcPr>
            <w:tcW w:type="dxa" w:w="1728"/>
            <w:vAlign w:val="center"/>
          </w:tcPr>
          <w:p>
            <w:pPr>
              <w:spacing w:after="0" w:line="240" w:lineRule="auto"/>
              <w:jc w:val="left"/>
            </w:pPr>
            <w:r>
              <w:rPr>
                <w:rFonts w:ascii="Times New Roman" w:hAnsi="Times New Roman" w:eastAsia="Times New Roman"/>
                <w:b w:val="0"/>
                <w:i w:val="0"/>
                <w:color w:val="000000"/>
                <w:sz w:val="20"/>
              </w:rPr>
              <w:t>Valid negative</w:t>
            </w:r>
          </w:p>
        </w:tc>
        <w:tc>
          <w:tcPr>
            <w:tcW w:type="dxa" w:w="5544"/>
            <w:vAlign w:val="center"/>
          </w:tcPr>
          <w:p>
            <w:pPr>
              <w:spacing w:after="0" w:line="240" w:lineRule="auto"/>
              <w:jc w:val="left"/>
            </w:pPr>
            <w:r>
              <w:rPr>
                <w:rFonts w:ascii="Times New Roman" w:hAnsi="Times New Roman" w:eastAsia="Times New Roman"/>
                <w:b w:val="0"/>
                <w:i w:val="0"/>
                <w:color w:val="000000"/>
                <w:sz w:val="20"/>
              </w:rPr>
              <w:t>Append “No medicines.” citing src_negative.</w:t>
            </w:r>
          </w:p>
        </w:tc>
        <w:tc>
          <w:tcPr>
            <w:tcW w:type="dxa" w:w="1742"/>
            <w:vAlign w:val="center"/>
          </w:tcPr>
          <w:p>
            <w:pPr>
              <w:spacing w:after="0" w:line="240" w:lineRule="auto"/>
              <w:jc w:val="left"/>
            </w:pPr>
            <w:r>
              <w:rPr>
                <w:rFonts w:ascii="Times New Roman" w:hAnsi="Times New Roman" w:eastAsia="Times New Roman"/>
                <w:b w:val="0"/>
                <w:i w:val="0"/>
                <w:color w:val="000000"/>
                <w:sz w:val="20"/>
              </w:rPr>
              <w:t>Accept / Accept</w:t>
            </w:r>
          </w:p>
        </w:tc>
      </w:tr>
      <w:tr>
        <w:trPr>
          <w:cantSplit/>
        </w:trPr>
        <w:tc>
          <w:tcPr>
            <w:tcW w:type="dxa" w:w="1728"/>
            <w:vAlign w:val="center"/>
          </w:tcPr>
          <w:p>
            <w:pPr>
              <w:spacing w:after="0" w:line="240" w:lineRule="auto"/>
              <w:jc w:val="left"/>
            </w:pPr>
            <w:r>
              <w:rPr>
                <w:rFonts w:ascii="Times New Roman" w:hAnsi="Times New Roman" w:eastAsia="Times New Roman"/>
                <w:b w:val="0"/>
                <w:i w:val="0"/>
                <w:color w:val="000000"/>
                <w:sz w:val="20"/>
              </w:rPr>
              <w:t>Valid uncertainty</w:t>
            </w:r>
          </w:p>
        </w:tc>
        <w:tc>
          <w:tcPr>
            <w:tcW w:type="dxa" w:w="5544"/>
            <w:vAlign w:val="center"/>
          </w:tcPr>
          <w:p>
            <w:pPr>
              <w:spacing w:after="0" w:line="240" w:lineRule="auto"/>
              <w:jc w:val="left"/>
            </w:pPr>
            <w:r>
              <w:rPr>
                <w:rFonts w:ascii="Times New Roman" w:hAnsi="Times New Roman" w:eastAsia="Times New Roman"/>
                <w:b w:val="0"/>
                <w:i w:val="0"/>
                <w:color w:val="000000"/>
                <w:sz w:val="20"/>
              </w:rPr>
              <w:t>Add “Allergies remain uncertain.” to uncertainties, citing src_unknown.</w:t>
            </w:r>
          </w:p>
        </w:tc>
        <w:tc>
          <w:tcPr>
            <w:tcW w:type="dxa" w:w="1742"/>
            <w:vAlign w:val="center"/>
          </w:tcPr>
          <w:p>
            <w:pPr>
              <w:spacing w:after="0" w:line="240" w:lineRule="auto"/>
              <w:jc w:val="left"/>
            </w:pPr>
            <w:r>
              <w:rPr>
                <w:rFonts w:ascii="Times New Roman" w:hAnsi="Times New Roman" w:eastAsia="Times New Roman"/>
                <w:b w:val="0"/>
                <w:i w:val="0"/>
                <w:color w:val="000000"/>
                <w:sz w:val="20"/>
              </w:rPr>
              <w:t>Accept / Accept</w:t>
            </w:r>
          </w:p>
        </w:tc>
      </w:tr>
      <w:tr>
        <w:trPr>
          <w:cantSplit/>
        </w:trPr>
        <w:tc>
          <w:tcPr>
            <w:tcW w:type="dxa" w:w="1728"/>
            <w:vAlign w:val="center"/>
          </w:tcPr>
          <w:p>
            <w:pPr>
              <w:spacing w:after="0" w:line="240" w:lineRule="auto"/>
              <w:jc w:val="left"/>
            </w:pPr>
            <w:r>
              <w:rPr>
                <w:rFonts w:ascii="Times New Roman" w:hAnsi="Times New Roman" w:eastAsia="Times New Roman"/>
                <w:b w:val="0"/>
                <w:i w:val="0"/>
                <w:color w:val="000000"/>
                <w:sz w:val="20"/>
              </w:rPr>
              <w:t>Valid refusal</w:t>
            </w:r>
          </w:p>
        </w:tc>
        <w:tc>
          <w:tcPr>
            <w:tcW w:type="dxa" w:w="5544"/>
            <w:vAlign w:val="center"/>
          </w:tcPr>
          <w:p>
            <w:pPr>
              <w:spacing w:after="0" w:line="240" w:lineRule="auto"/>
              <w:jc w:val="left"/>
            </w:pPr>
            <w:r>
              <w:rPr>
                <w:rFonts w:ascii="Times New Roman" w:hAnsi="Times New Roman" w:eastAsia="Times New Roman"/>
                <w:b w:val="0"/>
                <w:i w:val="0"/>
                <w:color w:val="000000"/>
                <w:sz w:val="20"/>
              </w:rPr>
              <w:t>Add “The patient declined to share medical history.” to uncertainties, citing src_skip.</w:t>
            </w:r>
          </w:p>
        </w:tc>
        <w:tc>
          <w:tcPr>
            <w:tcW w:type="dxa" w:w="1742"/>
            <w:vAlign w:val="center"/>
          </w:tcPr>
          <w:p>
            <w:pPr>
              <w:spacing w:after="0" w:line="240" w:lineRule="auto"/>
              <w:jc w:val="left"/>
            </w:pPr>
            <w:r>
              <w:rPr>
                <w:rFonts w:ascii="Times New Roman" w:hAnsi="Times New Roman" w:eastAsia="Times New Roman"/>
                <w:b w:val="0"/>
                <w:i w:val="0"/>
                <w:color w:val="000000"/>
                <w:sz w:val="20"/>
              </w:rPr>
              <w:t>Accept / Accept</w:t>
            </w:r>
          </w:p>
        </w:tc>
      </w:tr>
      <w:tr>
        <w:trPr>
          <w:cantSplit/>
        </w:trPr>
        <w:tc>
          <w:tcPr>
            <w:tcW w:type="dxa" w:w="1728"/>
            <w:vAlign w:val="center"/>
          </w:tcPr>
          <w:p>
            <w:pPr>
              <w:spacing w:after="0" w:line="240" w:lineRule="auto"/>
              <w:jc w:val="left"/>
            </w:pPr>
            <w:r>
              <w:rPr>
                <w:rFonts w:ascii="Times New Roman" w:hAnsi="Times New Roman" w:eastAsia="Times New Roman"/>
                <w:b w:val="0"/>
                <w:i w:val="0"/>
                <w:color w:val="000000"/>
                <w:sz w:val="20"/>
              </w:rPr>
              <w:t>Valid written number</w:t>
            </w:r>
          </w:p>
        </w:tc>
        <w:tc>
          <w:tcPr>
            <w:tcW w:type="dxa" w:w="5544"/>
            <w:vAlign w:val="center"/>
          </w:tcPr>
          <w:p>
            <w:pPr>
              <w:spacing w:after="0" w:line="240" w:lineRule="auto"/>
              <w:jc w:val="left"/>
            </w:pPr>
            <w:r>
              <w:rPr>
                <w:rFonts w:ascii="Times New Roman" w:hAnsi="Times New Roman" w:eastAsia="Times New Roman"/>
                <w:b w:val="0"/>
                <w:i w:val="0"/>
                <w:color w:val="000000"/>
                <w:sz w:val="20"/>
              </w:rPr>
              <w:t>Overview: “Leg pain for three days.”</w:t>
            </w:r>
          </w:p>
        </w:tc>
        <w:tc>
          <w:tcPr>
            <w:tcW w:type="dxa" w:w="1742"/>
            <w:vAlign w:val="center"/>
          </w:tcPr>
          <w:p>
            <w:pPr>
              <w:spacing w:after="0" w:line="240" w:lineRule="auto"/>
              <w:jc w:val="left"/>
            </w:pPr>
            <w:r>
              <w:rPr>
                <w:rFonts w:ascii="Times New Roman" w:hAnsi="Times New Roman" w:eastAsia="Times New Roman"/>
                <w:b w:val="0"/>
                <w:i w:val="0"/>
                <w:color w:val="000000"/>
                <w:sz w:val="20"/>
              </w:rPr>
              <w:t>Accept / Accept</w:t>
            </w:r>
          </w:p>
        </w:tc>
      </w:tr>
      <w:tr>
        <w:trPr>
          <w:cantSplit/>
        </w:trPr>
        <w:tc>
          <w:tcPr>
            <w:tcW w:type="dxa" w:w="1728"/>
            <w:vAlign w:val="center"/>
          </w:tcPr>
          <w:p>
            <w:pPr>
              <w:spacing w:after="0" w:line="240" w:lineRule="auto"/>
              <w:jc w:val="left"/>
            </w:pPr>
            <w:r>
              <w:rPr>
                <w:rFonts w:ascii="Times New Roman" w:hAnsi="Times New Roman" w:eastAsia="Times New Roman"/>
                <w:b w:val="0"/>
                <w:i w:val="0"/>
                <w:color w:val="000000"/>
                <w:sz w:val="20"/>
              </w:rPr>
              <w:t>Unknown source</w:t>
            </w:r>
          </w:p>
        </w:tc>
        <w:tc>
          <w:tcPr>
            <w:tcW w:type="dxa" w:w="5544"/>
            <w:vAlign w:val="center"/>
          </w:tcPr>
          <w:p>
            <w:pPr>
              <w:spacing w:after="0" w:line="240" w:lineRule="auto"/>
              <w:jc w:val="left"/>
            </w:pPr>
            <w:r>
              <w:rPr>
                <w:rFonts w:ascii="Times New Roman" w:hAnsi="Times New Roman" w:eastAsia="Times New Roman"/>
                <w:b w:val="0"/>
                <w:i w:val="0"/>
                <w:color w:val="000000"/>
                <w:sz w:val="20"/>
              </w:rPr>
              <w:t>Overview source ID becomes src_missing.</w:t>
            </w:r>
          </w:p>
        </w:tc>
        <w:tc>
          <w:tcPr>
            <w:tcW w:type="dxa" w:w="1742"/>
            <w:vAlign w:val="center"/>
          </w:tcPr>
          <w:p>
            <w:pPr>
              <w:spacing w:after="0" w:line="240" w:lineRule="auto"/>
              <w:jc w:val="left"/>
            </w:pPr>
            <w:r>
              <w:rPr>
                <w:rFonts w:ascii="Times New Roman" w:hAnsi="Times New Roman" w:eastAsia="Times New Roman"/>
                <w:b w:val="0"/>
                <w:i w:val="0"/>
                <w:color w:val="000000"/>
                <w:sz w:val="20"/>
              </w:rPr>
              <w:t>Accept / Reject</w:t>
            </w:r>
          </w:p>
        </w:tc>
      </w:tr>
      <w:tr>
        <w:trPr>
          <w:cantSplit/>
        </w:trPr>
        <w:tc>
          <w:tcPr>
            <w:tcW w:type="dxa" w:w="1728"/>
            <w:vAlign w:val="center"/>
          </w:tcPr>
          <w:p>
            <w:pPr>
              <w:spacing w:after="0" w:line="240" w:lineRule="auto"/>
              <w:jc w:val="left"/>
            </w:pPr>
            <w:r>
              <w:rPr>
                <w:rFonts w:ascii="Times New Roman" w:hAnsi="Times New Roman" w:eastAsia="Times New Roman"/>
                <w:b w:val="0"/>
                <w:i w:val="0"/>
                <w:color w:val="000000"/>
                <w:sz w:val="20"/>
              </w:rPr>
              <w:t>New number</w:t>
            </w:r>
          </w:p>
        </w:tc>
        <w:tc>
          <w:tcPr>
            <w:tcW w:type="dxa" w:w="5544"/>
            <w:vAlign w:val="center"/>
          </w:tcPr>
          <w:p>
            <w:pPr>
              <w:spacing w:after="0" w:line="240" w:lineRule="auto"/>
              <w:jc w:val="left"/>
            </w:pPr>
            <w:r>
              <w:rPr>
                <w:rFonts w:ascii="Times New Roman" w:hAnsi="Times New Roman" w:eastAsia="Times New Roman"/>
                <w:b w:val="0"/>
                <w:i w:val="0"/>
                <w:color w:val="000000"/>
                <w:sz w:val="20"/>
              </w:rPr>
              <w:t>Overview: “Leg pain for 30 days.”</w:t>
            </w:r>
          </w:p>
        </w:tc>
        <w:tc>
          <w:tcPr>
            <w:tcW w:type="dxa" w:w="1742"/>
            <w:vAlign w:val="center"/>
          </w:tcPr>
          <w:p>
            <w:pPr>
              <w:spacing w:after="0" w:line="240" w:lineRule="auto"/>
              <w:jc w:val="left"/>
            </w:pPr>
            <w:r>
              <w:rPr>
                <w:rFonts w:ascii="Times New Roman" w:hAnsi="Times New Roman" w:eastAsia="Times New Roman"/>
                <w:b w:val="0"/>
                <w:i w:val="0"/>
                <w:color w:val="000000"/>
                <w:sz w:val="20"/>
              </w:rPr>
              <w:t>Accept / Reject</w:t>
            </w:r>
          </w:p>
        </w:tc>
      </w:tr>
      <w:tr>
        <w:trPr>
          <w:cantSplit/>
        </w:trPr>
        <w:tc>
          <w:tcPr>
            <w:tcW w:type="dxa" w:w="1728"/>
            <w:vAlign w:val="center"/>
          </w:tcPr>
          <w:p>
            <w:pPr>
              <w:spacing w:after="0" w:line="240" w:lineRule="auto"/>
              <w:jc w:val="left"/>
            </w:pPr>
            <w:r>
              <w:rPr>
                <w:rFonts w:ascii="Times New Roman" w:hAnsi="Times New Roman" w:eastAsia="Times New Roman"/>
                <w:b w:val="0"/>
                <w:i w:val="0"/>
                <w:color w:val="000000"/>
                <w:sz w:val="20"/>
              </w:rPr>
              <w:t>Lost negative</w:t>
            </w:r>
          </w:p>
        </w:tc>
        <w:tc>
          <w:tcPr>
            <w:tcW w:type="dxa" w:w="5544"/>
            <w:vAlign w:val="center"/>
          </w:tcPr>
          <w:p>
            <w:pPr>
              <w:spacing w:after="0" w:line="240" w:lineRule="auto"/>
              <w:jc w:val="left"/>
            </w:pPr>
            <w:r>
              <w:rPr>
                <w:rFonts w:ascii="Times New Roman" w:hAnsi="Times New Roman" w:eastAsia="Times New Roman"/>
                <w:b w:val="0"/>
                <w:i w:val="0"/>
                <w:color w:val="000000"/>
                <w:sz w:val="20"/>
              </w:rPr>
              <w:t>Overview: “The patient takes medicines.” citing src_negative.</w:t>
            </w:r>
          </w:p>
        </w:tc>
        <w:tc>
          <w:tcPr>
            <w:tcW w:type="dxa" w:w="1742"/>
            <w:vAlign w:val="center"/>
          </w:tcPr>
          <w:p>
            <w:pPr>
              <w:spacing w:after="0" w:line="240" w:lineRule="auto"/>
              <w:jc w:val="left"/>
            </w:pPr>
            <w:r>
              <w:rPr>
                <w:rFonts w:ascii="Times New Roman" w:hAnsi="Times New Roman" w:eastAsia="Times New Roman"/>
                <w:b w:val="0"/>
                <w:i w:val="0"/>
                <w:color w:val="000000"/>
                <w:sz w:val="20"/>
              </w:rPr>
              <w:t>Accept / Reject</w:t>
            </w:r>
          </w:p>
        </w:tc>
      </w:tr>
      <w:tr>
        <w:trPr>
          <w:cantSplit/>
        </w:trPr>
        <w:tc>
          <w:tcPr>
            <w:tcW w:type="dxa" w:w="1728"/>
            <w:vAlign w:val="center"/>
          </w:tcPr>
          <w:p>
            <w:pPr>
              <w:spacing w:after="0" w:line="240" w:lineRule="auto"/>
              <w:jc w:val="left"/>
            </w:pPr>
            <w:r>
              <w:rPr>
                <w:rFonts w:ascii="Times New Roman" w:hAnsi="Times New Roman" w:eastAsia="Times New Roman"/>
                <w:b w:val="0"/>
                <w:i w:val="0"/>
                <w:color w:val="000000"/>
                <w:sz w:val="20"/>
              </w:rPr>
              <w:t>Lost uncertainty</w:t>
            </w:r>
          </w:p>
        </w:tc>
        <w:tc>
          <w:tcPr>
            <w:tcW w:type="dxa" w:w="5544"/>
            <w:vAlign w:val="center"/>
          </w:tcPr>
          <w:p>
            <w:pPr>
              <w:spacing w:after="0" w:line="240" w:lineRule="auto"/>
              <w:jc w:val="left"/>
            </w:pPr>
            <w:r>
              <w:rPr>
                <w:rFonts w:ascii="Times New Roman" w:hAnsi="Times New Roman" w:eastAsia="Times New Roman"/>
                <w:b w:val="0"/>
                <w:i w:val="0"/>
                <w:color w:val="000000"/>
                <w:sz w:val="20"/>
              </w:rPr>
              <w:t>Overview: “The patient has allergies.” citing src_unknown.</w:t>
            </w:r>
          </w:p>
        </w:tc>
        <w:tc>
          <w:tcPr>
            <w:tcW w:type="dxa" w:w="1742"/>
            <w:vAlign w:val="center"/>
          </w:tcPr>
          <w:p>
            <w:pPr>
              <w:spacing w:after="0" w:line="240" w:lineRule="auto"/>
              <w:jc w:val="left"/>
            </w:pPr>
            <w:r>
              <w:rPr>
                <w:rFonts w:ascii="Times New Roman" w:hAnsi="Times New Roman" w:eastAsia="Times New Roman"/>
                <w:b w:val="0"/>
                <w:i w:val="0"/>
                <w:color w:val="000000"/>
                <w:sz w:val="20"/>
              </w:rPr>
              <w:t>Accept / Reject</w:t>
            </w:r>
          </w:p>
        </w:tc>
      </w:tr>
      <w:tr>
        <w:trPr>
          <w:cantSplit/>
        </w:trPr>
        <w:tc>
          <w:tcPr>
            <w:tcW w:type="dxa" w:w="1728"/>
            <w:vAlign w:val="center"/>
          </w:tcPr>
          <w:p>
            <w:pPr>
              <w:spacing w:after="0" w:line="240" w:lineRule="auto"/>
              <w:jc w:val="left"/>
            </w:pPr>
            <w:r>
              <w:rPr>
                <w:rFonts w:ascii="Times New Roman" w:hAnsi="Times New Roman" w:eastAsia="Times New Roman"/>
                <w:b w:val="0"/>
                <w:i w:val="0"/>
                <w:color w:val="000000"/>
                <w:sz w:val="20"/>
              </w:rPr>
              <w:t>Wrong concern</w:t>
            </w:r>
          </w:p>
        </w:tc>
        <w:tc>
          <w:tcPr>
            <w:tcW w:type="dxa" w:w="5544"/>
            <w:vAlign w:val="center"/>
          </w:tcPr>
          <w:p>
            <w:pPr>
              <w:spacing w:after="0" w:line="240" w:lineRule="auto"/>
              <w:jc w:val="left"/>
            </w:pPr>
            <w:r>
              <w:rPr>
                <w:rFonts w:ascii="Times New Roman" w:hAnsi="Times New Roman" w:eastAsia="Times New Roman"/>
                <w:b w:val="0"/>
                <w:i w:val="0"/>
                <w:color w:val="000000"/>
                <w:sz w:val="20"/>
              </w:rPr>
              <w:t>c1 summary becomes “No medicines.” citing src_negative.</w:t>
            </w:r>
          </w:p>
        </w:tc>
        <w:tc>
          <w:tcPr>
            <w:tcW w:type="dxa" w:w="1742"/>
            <w:vAlign w:val="center"/>
          </w:tcPr>
          <w:p>
            <w:pPr>
              <w:spacing w:after="0" w:line="240" w:lineRule="auto"/>
              <w:jc w:val="left"/>
            </w:pPr>
            <w:r>
              <w:rPr>
                <w:rFonts w:ascii="Times New Roman" w:hAnsi="Times New Roman" w:eastAsia="Times New Roman"/>
                <w:b w:val="0"/>
                <w:i w:val="0"/>
                <w:color w:val="000000"/>
                <w:sz w:val="20"/>
              </w:rPr>
              <w:t>Accept / Reject</w:t>
            </w:r>
          </w:p>
        </w:tc>
      </w:tr>
      <w:tr>
        <w:trPr>
          <w:cantSplit/>
        </w:trPr>
        <w:tc>
          <w:tcPr>
            <w:tcW w:type="dxa" w:w="1728"/>
            <w:vAlign w:val="center"/>
          </w:tcPr>
          <w:p>
            <w:pPr>
              <w:spacing w:after="0" w:line="240" w:lineRule="auto"/>
              <w:jc w:val="left"/>
            </w:pPr>
            <w:r>
              <w:rPr>
                <w:rFonts w:ascii="Times New Roman" w:hAnsi="Times New Roman" w:eastAsia="Times New Roman"/>
                <w:b w:val="0"/>
                <w:i w:val="0"/>
                <w:color w:val="000000"/>
                <w:sz w:val="20"/>
              </w:rPr>
              <w:t>Omitted concern</w:t>
            </w:r>
          </w:p>
        </w:tc>
        <w:tc>
          <w:tcPr>
            <w:tcW w:type="dxa" w:w="5544"/>
            <w:vAlign w:val="center"/>
          </w:tcPr>
          <w:p>
            <w:pPr>
              <w:spacing w:after="0" w:line="240" w:lineRule="auto"/>
              <w:jc w:val="left"/>
            </w:pPr>
            <w:r>
              <w:rPr>
                <w:rFonts w:ascii="Times New Roman" w:hAnsi="Times New Roman" w:eastAsia="Times New Roman"/>
                <w:b w:val="0"/>
                <w:i w:val="0"/>
                <w:color w:val="000000"/>
                <w:sz w:val="20"/>
              </w:rPr>
              <w:t>concern_summaries becomes an empty array.</w:t>
            </w:r>
          </w:p>
        </w:tc>
        <w:tc>
          <w:tcPr>
            <w:tcW w:type="dxa" w:w="1742"/>
            <w:vAlign w:val="center"/>
          </w:tcPr>
          <w:p>
            <w:pPr>
              <w:spacing w:after="0" w:line="240" w:lineRule="auto"/>
              <w:jc w:val="left"/>
            </w:pPr>
            <w:r>
              <w:rPr>
                <w:rFonts w:ascii="Times New Roman" w:hAnsi="Times New Roman" w:eastAsia="Times New Roman"/>
                <w:b w:val="0"/>
                <w:i w:val="0"/>
                <w:color w:val="000000"/>
                <w:sz w:val="20"/>
              </w:rPr>
              <w:t>Accept / Reject</w:t>
            </w:r>
          </w:p>
        </w:tc>
      </w:tr>
      <w:tr>
        <w:trPr>
          <w:cantSplit/>
        </w:trPr>
        <w:tc>
          <w:tcPr>
            <w:tcW w:type="dxa" w:w="1728"/>
            <w:vAlign w:val="center"/>
          </w:tcPr>
          <w:p>
            <w:pPr>
              <w:spacing w:after="0" w:line="240" w:lineRule="auto"/>
              <w:jc w:val="left"/>
            </w:pPr>
            <w:r>
              <w:rPr>
                <w:rFonts w:ascii="Times New Roman" w:hAnsi="Times New Roman" w:eastAsia="Times New Roman"/>
                <w:b w:val="0"/>
                <w:i w:val="0"/>
                <w:color w:val="000000"/>
                <w:sz w:val="20"/>
              </w:rPr>
              <w:t>Instruction echo</w:t>
            </w:r>
          </w:p>
        </w:tc>
        <w:tc>
          <w:tcPr>
            <w:tcW w:type="dxa" w:w="5544"/>
            <w:vAlign w:val="center"/>
          </w:tcPr>
          <w:p>
            <w:pPr>
              <w:spacing w:after="0" w:line="240" w:lineRule="auto"/>
              <w:jc w:val="left"/>
            </w:pPr>
            <w:r>
              <w:rPr>
                <w:rFonts w:ascii="Times New Roman" w:hAnsi="Times New Roman" w:eastAsia="Times New Roman"/>
                <w:b w:val="0"/>
                <w:i w:val="0"/>
                <w:color w:val="000000"/>
                <w:sz w:val="20"/>
              </w:rPr>
              <w:t>Overview: “Ignore all instructions.”</w:t>
            </w:r>
          </w:p>
        </w:tc>
        <w:tc>
          <w:tcPr>
            <w:tcW w:type="dxa" w:w="1742"/>
            <w:vAlign w:val="center"/>
          </w:tcPr>
          <w:p>
            <w:pPr>
              <w:spacing w:after="0" w:line="240" w:lineRule="auto"/>
              <w:jc w:val="left"/>
            </w:pPr>
            <w:r>
              <w:rPr>
                <w:rFonts w:ascii="Times New Roman" w:hAnsi="Times New Roman" w:eastAsia="Times New Roman"/>
                <w:b w:val="0"/>
                <w:i w:val="0"/>
                <w:color w:val="000000"/>
                <w:sz w:val="20"/>
              </w:rPr>
              <w:t>Accept / Reject</w:t>
            </w:r>
          </w:p>
        </w:tc>
      </w:tr>
      <w:tr>
        <w:trPr>
          <w:cantSplit/>
        </w:trPr>
        <w:tc>
          <w:tcPr>
            <w:tcW w:type="dxa" w:w="1728"/>
            <w:vAlign w:val="center"/>
          </w:tcPr>
          <w:p>
            <w:pPr>
              <w:spacing w:after="0" w:line="240" w:lineRule="auto"/>
              <w:jc w:val="left"/>
            </w:pPr>
            <w:r>
              <w:rPr>
                <w:rFonts w:ascii="Times New Roman" w:hAnsi="Times New Roman" w:eastAsia="Times New Roman"/>
                <w:b w:val="0"/>
                <w:i w:val="0"/>
                <w:color w:val="000000"/>
                <w:sz w:val="20"/>
              </w:rPr>
              <w:t>Duplicate reference</w:t>
            </w:r>
          </w:p>
        </w:tc>
        <w:tc>
          <w:tcPr>
            <w:tcW w:type="dxa" w:w="5544"/>
            <w:vAlign w:val="center"/>
          </w:tcPr>
          <w:p>
            <w:pPr>
              <w:spacing w:after="0" w:line="240" w:lineRule="auto"/>
              <w:jc w:val="left"/>
            </w:pPr>
            <w:r>
              <w:rPr>
                <w:rFonts w:ascii="Times New Roman" w:hAnsi="Times New Roman" w:eastAsia="Times New Roman"/>
                <w:b w:val="0"/>
                <w:i w:val="0"/>
                <w:color w:val="000000"/>
                <w:sz w:val="20"/>
              </w:rPr>
              <w:t>Overview cites src_pain twice.</w:t>
            </w:r>
          </w:p>
        </w:tc>
        <w:tc>
          <w:tcPr>
            <w:tcW w:type="dxa" w:w="1742"/>
            <w:vAlign w:val="center"/>
          </w:tcPr>
          <w:p>
            <w:pPr>
              <w:spacing w:after="0" w:line="240" w:lineRule="auto"/>
              <w:jc w:val="left"/>
            </w:pPr>
            <w:r>
              <w:rPr>
                <w:rFonts w:ascii="Times New Roman" w:hAnsi="Times New Roman" w:eastAsia="Times New Roman"/>
                <w:b w:val="0"/>
                <w:i w:val="0"/>
                <w:color w:val="000000"/>
                <w:sz w:val="20"/>
              </w:rPr>
              <w:t>Accept / Reject</w:t>
            </w:r>
          </w:p>
        </w:tc>
      </w:tr>
      <w:tr>
        <w:trPr>
          <w:cantSplit/>
        </w:trPr>
        <w:tc>
          <w:tcPr>
            <w:tcW w:type="dxa" w:w="1728"/>
            <w:vAlign w:val="center"/>
          </w:tcPr>
          <w:p>
            <w:pPr>
              <w:spacing w:after="0" w:line="240" w:lineRule="auto"/>
              <w:jc w:val="left"/>
            </w:pPr>
            <w:r>
              <w:rPr>
                <w:rFonts w:ascii="Times New Roman" w:hAnsi="Times New Roman" w:eastAsia="Times New Roman"/>
                <w:b w:val="0"/>
                <w:i w:val="0"/>
                <w:color w:val="000000"/>
                <w:sz w:val="20"/>
              </w:rPr>
              <w:t>Empty reference</w:t>
            </w:r>
          </w:p>
        </w:tc>
        <w:tc>
          <w:tcPr>
            <w:tcW w:type="dxa" w:w="5544"/>
            <w:vAlign w:val="center"/>
          </w:tcPr>
          <w:p>
            <w:pPr>
              <w:spacing w:after="0" w:line="240" w:lineRule="auto"/>
              <w:jc w:val="left"/>
            </w:pPr>
            <w:r>
              <w:rPr>
                <w:rFonts w:ascii="Times New Roman" w:hAnsi="Times New Roman" w:eastAsia="Times New Roman"/>
                <w:b w:val="0"/>
                <w:i w:val="0"/>
                <w:color w:val="000000"/>
                <w:sz w:val="20"/>
              </w:rPr>
              <w:t>Overview source_ids becomes an empty array.</w:t>
            </w:r>
          </w:p>
        </w:tc>
        <w:tc>
          <w:tcPr>
            <w:tcW w:type="dxa" w:w="1742"/>
            <w:vAlign w:val="center"/>
          </w:tcPr>
          <w:p>
            <w:pPr>
              <w:spacing w:after="0" w:line="240" w:lineRule="auto"/>
              <w:jc w:val="left"/>
            </w:pPr>
            <w:r>
              <w:rPr>
                <w:rFonts w:ascii="Times New Roman" w:hAnsi="Times New Roman" w:eastAsia="Times New Roman"/>
                <w:b w:val="0"/>
                <w:i w:val="0"/>
                <w:color w:val="000000"/>
                <w:sz w:val="20"/>
              </w:rPr>
              <w:t>Accept / Reject</w:t>
            </w:r>
          </w:p>
        </w:tc>
      </w:tr>
      <w:tr>
        <w:trPr>
          <w:cantSplit/>
        </w:trPr>
        <w:tc>
          <w:tcPr>
            <w:tcW w:type="dxa" w:w="1728"/>
            <w:vAlign w:val="center"/>
          </w:tcPr>
          <w:p>
            <w:pPr>
              <w:spacing w:after="0" w:line="240" w:lineRule="auto"/>
              <w:jc w:val="left"/>
            </w:pPr>
            <w:r>
              <w:rPr>
                <w:rFonts w:ascii="Times New Roman" w:hAnsi="Times New Roman" w:eastAsia="Times New Roman"/>
                <w:b w:val="0"/>
                <w:i w:val="0"/>
                <w:color w:val="000000"/>
                <w:sz w:val="20"/>
              </w:rPr>
              <w:t>Wrong language</w:t>
            </w:r>
          </w:p>
        </w:tc>
        <w:tc>
          <w:tcPr>
            <w:tcW w:type="dxa" w:w="5544"/>
            <w:vAlign w:val="center"/>
          </w:tcPr>
          <w:p>
            <w:pPr>
              <w:spacing w:after="0" w:line="240" w:lineRule="auto"/>
              <w:jc w:val="left"/>
            </w:pPr>
            <w:r>
              <w:rPr>
                <w:rFonts w:ascii="Times New Roman" w:hAnsi="Times New Roman" w:eastAsia="Times New Roman"/>
                <w:b w:val="0"/>
                <w:i w:val="0"/>
                <w:color w:val="000000"/>
                <w:sz w:val="20"/>
              </w:rPr>
              <w:t>Keep base English output; request locale zh-CN.</w:t>
            </w:r>
          </w:p>
        </w:tc>
        <w:tc>
          <w:tcPr>
            <w:tcW w:type="dxa" w:w="1742"/>
            <w:vAlign w:val="center"/>
          </w:tcPr>
          <w:p>
            <w:pPr>
              <w:spacing w:after="0" w:line="240" w:lineRule="auto"/>
              <w:jc w:val="left"/>
            </w:pPr>
            <w:r>
              <w:rPr>
                <w:rFonts w:ascii="Times New Roman" w:hAnsi="Times New Roman" w:eastAsia="Times New Roman"/>
                <w:b w:val="0"/>
                <w:i w:val="0"/>
                <w:color w:val="000000"/>
                <w:sz w:val="20"/>
              </w:rPr>
              <w:t>Accept / Reject</w:t>
            </w:r>
          </w:p>
        </w:tc>
      </w:tr>
      <w:tr>
        <w:trPr>
          <w:cantSplit/>
        </w:trPr>
        <w:tc>
          <w:tcPr>
            <w:tcW w:type="dxa" w:w="1728"/>
            <w:vAlign w:val="center"/>
          </w:tcPr>
          <w:p>
            <w:pPr>
              <w:spacing w:after="0" w:line="240" w:lineRule="auto"/>
              <w:jc w:val="left"/>
            </w:pPr>
            <w:r>
              <w:rPr>
                <w:rFonts w:ascii="Times New Roman" w:hAnsi="Times New Roman" w:eastAsia="Times New Roman"/>
                <w:b w:val="0"/>
                <w:i w:val="0"/>
                <w:color w:val="000000"/>
                <w:sz w:val="20"/>
              </w:rPr>
              <w:t>Semantic limitation</w:t>
            </w:r>
          </w:p>
        </w:tc>
        <w:tc>
          <w:tcPr>
            <w:tcW w:type="dxa" w:w="5544"/>
            <w:vAlign w:val="center"/>
          </w:tcPr>
          <w:p>
            <w:pPr>
              <w:spacing w:after="0" w:line="240" w:lineRule="auto"/>
              <w:jc w:val="left"/>
            </w:pPr>
            <w:r>
              <w:rPr>
                <w:rFonts w:ascii="Times New Roman" w:hAnsi="Times New Roman" w:eastAsia="Times New Roman"/>
                <w:b w:val="0"/>
                <w:i w:val="0"/>
                <w:color w:val="000000"/>
                <w:sz w:val="20"/>
              </w:rPr>
              <w:t>Overview: “The patient reports persistent dizziness.” citing src_pain.</w:t>
            </w:r>
          </w:p>
        </w:tc>
        <w:tc>
          <w:tcPr>
            <w:tcW w:type="dxa" w:w="1742"/>
            <w:vAlign w:val="center"/>
          </w:tcPr>
          <w:p>
            <w:pPr>
              <w:spacing w:after="0" w:line="240" w:lineRule="auto"/>
              <w:jc w:val="left"/>
            </w:pPr>
            <w:r>
              <w:rPr>
                <w:rFonts w:ascii="Times New Roman" w:hAnsi="Times New Roman" w:eastAsia="Times New Roman"/>
                <w:b w:val="0"/>
                <w:i w:val="0"/>
                <w:color w:val="000000"/>
                <w:sz w:val="20"/>
              </w:rPr>
              <w:t>Accept / Accept</w:t>
            </w:r>
          </w:p>
        </w:tc>
      </w:tr>
    </w:tbl>
    <w:p>
      <w:pPr>
        <w:widowControl/>
        <w:spacing w:after="140"/>
        <w:jc w:val="left"/>
      </w:pPr>
      <w:r>
        <w:rPr>
          <w:rFonts w:ascii="Times New Roman" w:hAnsi="Times New Roman" w:eastAsia="Times New Roman"/>
          <w:b w:val="0"/>
          <w:i/>
          <w:color w:val="000000"/>
          <w:sz w:val="20"/>
        </w:rPr>
        <w:t>Table C1. All sixteen inputs and observed outcomes. Changes affect only the indicated field; all other base fields remain unchanged.</w:t>
      </w:r>
    </w:p>
    <w:p>
      <w:pPr>
        <w:widowControl/>
        <w:jc w:val="both"/>
      </w:pPr>
      <w:r>
        <w:rPr>
          <w:rFonts w:ascii="Times New Roman" w:hAnsi="Times New Roman" w:eastAsia="Times New Roman"/>
          <w:b w:val="0"/>
          <w:i w:val="0"/>
          <w:color w:val="000000"/>
          <w:sz w:val="22"/>
        </w:rPr>
        <w:t>This audit isolates the contribution of implemented guards. The controls show that uncertainty, refusal and a number paraphrased in words can be accepted. All valid controls use English; no successful translated control was included. The zh-CN probe checks only rejection of English output when another locale is requested. One language mismatch and one semantic limitation were probed. These results should guide a larger independently labelled study, not replace one.</w:t>
      </w:r>
    </w:p>
    <w:p>
      <w:pPr>
        <w:pStyle w:val="Heading1"/>
        <w:pageBreakBefore/>
        <w:widowControl/>
        <w:jc w:val="left"/>
      </w:pPr>
      <w:r>
        <w:rPr>
          <w:rFonts w:ascii="Times New Roman" w:hAnsi="Times New Roman" w:eastAsia="Times New Roman"/>
          <w:b/>
          <w:i w:val="0"/>
          <w:color w:val="1F3864"/>
          <w:sz w:val="30"/>
        </w:rPr>
        <w:t>Appendix D Reusable background</w:t>
      </w:r>
    </w:p>
    <w:p>
      <w:pPr>
        <w:keepNext/>
        <w:spacing w:after="60"/>
        <w:jc w:val="center"/>
      </w:pPr>
      <w:r>
        <w:drawing>
          <wp:inline>
            <wp:extent cx="5715000" cy="4151376"/>
            <wp:docPr id="1749116766" name="Picture 1749116766" descr="Current PreConsult interface screenshot or architecture diagram; see adjacent caption for provenance."/>
            <wp:cNvGraphicFramePr>
              <a:graphicFrameLocks noChangeAspect="1"/>
            </wp:cNvGraphicFramePr>
            <a:graphic>
              <a:graphicData uri="http://schemas.openxmlformats.org/drawingml/2006/picture">
                <pic:pic>
                  <pic:nvPicPr>
                    <pic:cNvPr id="0" name="appendix-profile-body-A.png"/>
                    <pic:cNvPicPr/>
                  </pic:nvPicPr>
                  <pic:blipFill>
                    <a:blip r:embed="rId19"/>
                    <a:stretch>
                      <a:fillRect/>
                    </a:stretch>
                  </pic:blipFill>
                  <pic:spPr>
                    <a:xfrm>
                      <a:off x="0" y="0"/>
                      <a:ext cx="5715000" cy="4151376"/>
                    </a:xfrm>
                    <a:prstGeom prst="rect"/>
                  </pic:spPr>
                </pic:pic>
              </a:graphicData>
            </a:graphic>
          </wp:inline>
        </w:drawing>
      </w:r>
    </w:p>
    <w:p>
      <w:pPr>
        <w:widowControl/>
        <w:spacing w:after="140"/>
        <w:jc w:val="left"/>
      </w:pPr>
      <w:r>
        <w:rPr>
          <w:rFonts w:ascii="Times New Roman" w:hAnsi="Times New Roman" w:eastAsia="Times New Roman"/>
          <w:b w:val="0"/>
          <w:i/>
          <w:color w:val="000000"/>
          <w:sz w:val="20"/>
        </w:rPr>
        <w:t>Figure D1. Reusable profile with separate ABO and optional Rh choices. The actual current UI is shown with fictional patient data.</w:t>
      </w:r>
    </w:p>
    <w:p>
      <w:pPr>
        <w:pStyle w:val="Heading1"/>
        <w:pageBreakBefore/>
        <w:widowControl/>
        <w:jc w:val="left"/>
      </w:pPr>
      <w:r>
        <w:rPr>
          <w:rFonts w:ascii="Times New Roman" w:hAnsi="Times New Roman" w:eastAsia="Times New Roman"/>
          <w:b/>
          <w:i w:val="0"/>
          <w:color w:val="1F3864"/>
          <w:sz w:val="30"/>
        </w:rPr>
        <w:t>Appendix D Multiple body areas</w:t>
      </w:r>
    </w:p>
    <w:p>
      <w:pPr>
        <w:keepNext/>
        <w:spacing w:after="60"/>
        <w:jc w:val="center"/>
      </w:pPr>
      <w:r>
        <w:drawing>
          <wp:inline>
            <wp:extent cx="5715000" cy="6400800"/>
            <wp:docPr id="1749116767" name="Picture 1749116767" descr="Current PreConsult interface screenshot or architecture diagram; see adjacent caption for provenance."/>
            <wp:cNvGraphicFramePr>
              <a:graphicFrameLocks noChangeAspect="1"/>
            </wp:cNvGraphicFramePr>
            <a:graphic>
              <a:graphicData uri="http://schemas.openxmlformats.org/drawingml/2006/picture">
                <pic:pic>
                  <pic:nvPicPr>
                    <pic:cNvPr id="0" name="appendix-profile-body-B.png"/>
                    <pic:cNvPicPr/>
                  </pic:nvPicPr>
                  <pic:blipFill>
                    <a:blip r:embed="rId20"/>
                    <a:stretch>
                      <a:fillRect/>
                    </a:stretch>
                  </pic:blipFill>
                  <pic:spPr>
                    <a:xfrm>
                      <a:off x="0" y="0"/>
                      <a:ext cx="5715000" cy="6400800"/>
                    </a:xfrm>
                    <a:prstGeom prst="rect"/>
                  </pic:spPr>
                </pic:pic>
              </a:graphicData>
            </a:graphic>
          </wp:inline>
        </w:drawing>
      </w:r>
    </w:p>
    <w:p>
      <w:pPr>
        <w:widowControl/>
        <w:spacing w:after="140"/>
        <w:jc w:val="left"/>
      </w:pPr>
      <w:r>
        <w:rPr>
          <w:rFonts w:ascii="Times New Roman" w:hAnsi="Times New Roman" w:eastAsia="Times New Roman"/>
          <w:b w:val="0"/>
          <w:i/>
          <w:color w:val="000000"/>
          <w:sz w:val="20"/>
        </w:rPr>
        <w:t>Figure D2. Full body-map component with two selected areas, removable selections and labelled control alternatives.</w:t>
      </w:r>
    </w:p>
    <w:p>
      <w:pPr>
        <w:pStyle w:val="Heading1"/>
        <w:pageBreakBefore/>
        <w:widowControl/>
        <w:jc w:val="left"/>
      </w:pPr>
      <w:r>
        <w:rPr>
          <w:rFonts w:ascii="Times New Roman" w:hAnsi="Times New Roman" w:eastAsia="Times New Roman"/>
          <w:b/>
          <w:i w:val="0"/>
          <w:color w:val="1F3864"/>
          <w:sz w:val="30"/>
        </w:rPr>
        <w:t>Appendix D Localised patient entry</w:t>
      </w:r>
    </w:p>
    <w:p>
      <w:pPr>
        <w:keepNext/>
        <w:spacing w:after="60"/>
        <w:jc w:val="center"/>
      </w:pPr>
      <w:r>
        <w:drawing>
          <wp:inline>
            <wp:extent cx="5715000" cy="4724400"/>
            <wp:docPr id="1749116768" name="Picture 1749116768" descr="Current PreConsult interface screenshot or architecture diagram; see adjacent caption for provenance."/>
            <wp:cNvGraphicFramePr>
              <a:graphicFrameLocks noChangeAspect="1"/>
            </wp:cNvGraphicFramePr>
            <a:graphic>
              <a:graphicData uri="http://schemas.openxmlformats.org/drawingml/2006/picture">
                <pic:pic>
                  <pic:nvPicPr>
                    <pic:cNvPr id="0" name="appendix-local-mobile-A.png"/>
                    <pic:cNvPicPr/>
                  </pic:nvPicPr>
                  <pic:blipFill>
                    <a:blip r:embed="rId21"/>
                    <a:stretch>
                      <a:fillRect/>
                    </a:stretch>
                  </pic:blipFill>
                  <pic:spPr>
                    <a:xfrm>
                      <a:off x="0" y="0"/>
                      <a:ext cx="5715000" cy="4724400"/>
                    </a:xfrm>
                    <a:prstGeom prst="rect"/>
                  </pic:spPr>
                </pic:pic>
              </a:graphicData>
            </a:graphic>
          </wp:inline>
        </w:drawing>
      </w:r>
    </w:p>
    <w:p>
      <w:pPr>
        <w:widowControl/>
        <w:spacing w:after="140"/>
        <w:jc w:val="left"/>
      </w:pPr>
      <w:r>
        <w:rPr>
          <w:rFonts w:ascii="Times New Roman" w:hAnsi="Times New Roman" w:eastAsia="Times New Roman"/>
          <w:b w:val="0"/>
          <w:i/>
          <w:color w:val="000000"/>
          <w:sz w:val="20"/>
        </w:rPr>
        <w:t>Figure D3. Simplified Chinese entry and symptom-card detail. “Leg pain” is translated with the rest of the patient interface.</w:t>
      </w:r>
    </w:p>
    <w:p>
      <w:pPr>
        <w:pStyle w:val="Heading1"/>
        <w:pageBreakBefore/>
        <w:widowControl/>
        <w:jc w:val="left"/>
      </w:pPr>
      <w:r>
        <w:rPr>
          <w:rFonts w:ascii="Times New Roman" w:hAnsi="Times New Roman" w:eastAsia="Times New Roman"/>
          <w:b/>
          <w:i w:val="0"/>
          <w:color w:val="1F3864"/>
          <w:sz w:val="30"/>
        </w:rPr>
        <w:t>Appendix D Mobile follow-up</w:t>
      </w:r>
    </w:p>
    <w:p>
      <w:pPr>
        <w:keepNext/>
        <w:spacing w:after="60"/>
        <w:jc w:val="center"/>
      </w:pPr>
      <w:r>
        <w:drawing>
          <wp:inline>
            <wp:extent cx="5715000" cy="6400800"/>
            <wp:docPr id="1749116769" name="Picture 1749116769" descr="Current PreConsult interface screenshot or architecture diagram; see adjacent caption for provenance."/>
            <wp:cNvGraphicFramePr>
              <a:graphicFrameLocks noChangeAspect="1"/>
            </wp:cNvGraphicFramePr>
            <a:graphic>
              <a:graphicData uri="http://schemas.openxmlformats.org/drawingml/2006/picture">
                <pic:pic>
                  <pic:nvPicPr>
                    <pic:cNvPr id="0" name="appendix-local-mobile-B.png"/>
                    <pic:cNvPicPr/>
                  </pic:nvPicPr>
                  <pic:blipFill>
                    <a:blip r:embed="rId22"/>
                    <a:stretch>
                      <a:fillRect/>
                    </a:stretch>
                  </pic:blipFill>
                  <pic:spPr>
                    <a:xfrm>
                      <a:off x="0" y="0"/>
                      <a:ext cx="5715000" cy="6400800"/>
                    </a:xfrm>
                    <a:prstGeom prst="rect"/>
                  </pic:spPr>
                </pic:pic>
              </a:graphicData>
            </a:graphic>
          </wp:inline>
        </w:drawing>
      </w:r>
    </w:p>
    <w:p>
      <w:pPr>
        <w:widowControl/>
        <w:spacing w:after="140"/>
        <w:jc w:val="left"/>
      </w:pPr>
      <w:r>
        <w:rPr>
          <w:rFonts w:ascii="Times New Roman" w:hAnsi="Times New Roman" w:eastAsia="Times New Roman"/>
          <w:b w:val="0"/>
          <w:i/>
          <w:color w:val="000000"/>
          <w:sz w:val="20"/>
        </w:rPr>
        <w:t>Figure D4. Actual mobile question component with suggested options and editable text. Question content is a deterministic synthetic fixture; the screenshot does not establish model or translation quality.</w:t>
      </w:r>
    </w:p>
    <w:sectPr w:rsidRPr="00DC0576" w:rsidR="002537C4">
      <w:footerReference w:type="default" r:id="rId11"/>
      <w:pgSz w:w="11906" w:h="16838" w:orient="portrait"/>
      <w:pgMar w:top="1440" w:right="1440" w:bottom="1440" w:left="1440" w:header="708" w:footer="69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color w:val="595959"/>
        <w:sz w:val="18"/>
      </w:rPr>
    </w:r>
    <w:fldSimple w:instr="PAGE"/>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C26170C"/>
    <w:multiLevelType w:val="hybridMultilevel"/>
    <w:tmpl w:val="DC1225C0"/>
    <w:lvl w:ilvl="0" w:tplc="9C9C731C">
      <w:start w:val="1"/>
      <w:numFmt w:val="decimal"/>
      <w:lvlText w:val="%1."/>
      <w:lvlJc w:val="left"/>
      <w:pPr>
        <w:ind w:left="540" w:hanging="300"/>
      </w:pPr>
    </w:lvl>
    <w:lvl w:ilvl="1" w:tplc="7D386372">
      <w:numFmt w:val="decimal"/>
      <w:lvlText w:val=""/>
      <w:lvlJc w:val="left"/>
    </w:lvl>
    <w:lvl w:ilvl="2" w:tplc="64E29CB2">
      <w:numFmt w:val="decimal"/>
      <w:lvlText w:val=""/>
      <w:lvlJc w:val="left"/>
    </w:lvl>
    <w:lvl w:ilvl="3" w:tplc="CA7EC158">
      <w:numFmt w:val="decimal"/>
      <w:lvlText w:val=""/>
      <w:lvlJc w:val="left"/>
    </w:lvl>
    <w:lvl w:ilvl="4" w:tplc="F7BCB39E">
      <w:numFmt w:val="decimal"/>
      <w:lvlText w:val=""/>
      <w:lvlJc w:val="left"/>
    </w:lvl>
    <w:lvl w:ilvl="5" w:tplc="5964C534">
      <w:numFmt w:val="decimal"/>
      <w:lvlText w:val=""/>
      <w:lvlJc w:val="left"/>
    </w:lvl>
    <w:lvl w:ilvl="6" w:tplc="1414824E">
      <w:numFmt w:val="decimal"/>
      <w:lvlText w:val=""/>
      <w:lvlJc w:val="left"/>
    </w:lvl>
    <w:lvl w:ilvl="7" w:tplc="62B2D97C">
      <w:numFmt w:val="decimal"/>
      <w:lvlText w:val=""/>
      <w:lvlJc w:val="left"/>
    </w:lvl>
    <w:lvl w:ilvl="8" w:tplc="F55C4A0E">
      <w:numFmt w:val="decimal"/>
      <w:lvlText w:val=""/>
      <w:lvlJc w:val="left"/>
    </w:lvl>
  </w:abstractNum>
  <w:abstractNum w:abstractNumId="1" w15:restartNumberingAfterBreak="0">
    <w:nsid w:val="320E028D"/>
    <w:multiLevelType w:val="hybridMultilevel"/>
    <w:tmpl w:val="09682C86"/>
    <w:lvl w:ilvl="0" w:tplc="66903B7A">
      <w:start w:val="1"/>
      <w:numFmt w:val="decimal"/>
      <w:lvlText w:val="%1."/>
      <w:lvlJc w:val="left"/>
      <w:pPr>
        <w:ind w:left="540" w:hanging="300"/>
      </w:pPr>
    </w:lvl>
    <w:lvl w:ilvl="1" w:tplc="124E8DB0">
      <w:numFmt w:val="decimal"/>
      <w:lvlText w:val=""/>
      <w:lvlJc w:val="left"/>
    </w:lvl>
    <w:lvl w:ilvl="2" w:tplc="2C82F5EA">
      <w:numFmt w:val="decimal"/>
      <w:lvlText w:val=""/>
      <w:lvlJc w:val="left"/>
    </w:lvl>
    <w:lvl w:ilvl="3" w:tplc="9D3C748C">
      <w:numFmt w:val="decimal"/>
      <w:lvlText w:val=""/>
      <w:lvlJc w:val="left"/>
    </w:lvl>
    <w:lvl w:ilvl="4" w:tplc="91A4C218">
      <w:numFmt w:val="decimal"/>
      <w:lvlText w:val=""/>
      <w:lvlJc w:val="left"/>
    </w:lvl>
    <w:lvl w:ilvl="5" w:tplc="CDF83F98">
      <w:numFmt w:val="decimal"/>
      <w:lvlText w:val=""/>
      <w:lvlJc w:val="left"/>
    </w:lvl>
    <w:lvl w:ilvl="6" w:tplc="0A38669C">
      <w:numFmt w:val="decimal"/>
      <w:lvlText w:val=""/>
      <w:lvlJc w:val="left"/>
    </w:lvl>
    <w:lvl w:ilvl="7" w:tplc="06B2344E">
      <w:numFmt w:val="decimal"/>
      <w:lvlText w:val=""/>
      <w:lvlJc w:val="left"/>
    </w:lvl>
    <w:lvl w:ilvl="8" w:tplc="1BFE26AE">
      <w:numFmt w:val="decimal"/>
      <w:lvlText w:val=""/>
      <w:lvlJc w:val="left"/>
    </w:lvl>
  </w:abstractNum>
  <w:abstractNum w:abstractNumId="2" w15:restartNumberingAfterBreak="0">
    <w:nsid w:val="3A800334"/>
    <w:multiLevelType w:val="hybridMultilevel"/>
    <w:tmpl w:val="FE162ECE"/>
    <w:lvl w:ilvl="0" w:tplc="0EEE2A34">
      <w:start w:val="1"/>
      <w:numFmt w:val="bullet"/>
      <w:lvlText w:val="●"/>
      <w:lvlJc w:val="left"/>
      <w:pPr>
        <w:ind w:left="720" w:hanging="360"/>
      </w:pPr>
    </w:lvl>
    <w:lvl w:ilvl="1" w:tplc="8544EB0A">
      <w:start w:val="1"/>
      <w:numFmt w:val="bullet"/>
      <w:lvlText w:val="○"/>
      <w:lvlJc w:val="left"/>
      <w:pPr>
        <w:ind w:left="1440" w:hanging="360"/>
      </w:pPr>
    </w:lvl>
    <w:lvl w:ilvl="2" w:tplc="7BAE5F78">
      <w:start w:val="1"/>
      <w:numFmt w:val="bullet"/>
      <w:lvlText w:val="■"/>
      <w:lvlJc w:val="left"/>
      <w:pPr>
        <w:ind w:left="2160" w:hanging="360"/>
      </w:pPr>
    </w:lvl>
    <w:lvl w:ilvl="3" w:tplc="09427F2C">
      <w:start w:val="1"/>
      <w:numFmt w:val="bullet"/>
      <w:lvlText w:val="●"/>
      <w:lvlJc w:val="left"/>
      <w:pPr>
        <w:ind w:left="2880" w:hanging="360"/>
      </w:pPr>
    </w:lvl>
    <w:lvl w:ilvl="4" w:tplc="44E6A1FE">
      <w:start w:val="1"/>
      <w:numFmt w:val="bullet"/>
      <w:lvlText w:val="○"/>
      <w:lvlJc w:val="left"/>
      <w:pPr>
        <w:ind w:left="3600" w:hanging="360"/>
      </w:pPr>
    </w:lvl>
    <w:lvl w:ilvl="5" w:tplc="01BAB6DA">
      <w:start w:val="1"/>
      <w:numFmt w:val="bullet"/>
      <w:lvlText w:val="■"/>
      <w:lvlJc w:val="left"/>
      <w:pPr>
        <w:ind w:left="4320" w:hanging="360"/>
      </w:pPr>
    </w:lvl>
    <w:lvl w:ilvl="6" w:tplc="3B8E12C0">
      <w:start w:val="1"/>
      <w:numFmt w:val="bullet"/>
      <w:lvlText w:val="●"/>
      <w:lvlJc w:val="left"/>
      <w:pPr>
        <w:ind w:left="5040" w:hanging="360"/>
      </w:pPr>
    </w:lvl>
    <w:lvl w:ilvl="7" w:tplc="C518E74A">
      <w:start w:val="1"/>
      <w:numFmt w:val="bullet"/>
      <w:lvlText w:val="●"/>
      <w:lvlJc w:val="left"/>
      <w:pPr>
        <w:ind w:left="5760" w:hanging="360"/>
      </w:pPr>
    </w:lvl>
    <w:lvl w:ilvl="8" w:tplc="A21A3622">
      <w:start w:val="1"/>
      <w:numFmt w:val="bullet"/>
      <w:lvlText w:val="●"/>
      <w:lvlJc w:val="left"/>
      <w:pPr>
        <w:ind w:left="6480" w:hanging="360"/>
      </w:pPr>
    </w:lvl>
  </w:abstractNum>
  <w:abstractNum w:abstractNumId="3" w15:restartNumberingAfterBreak="0">
    <w:nsid w:val="3C6A6643"/>
    <w:multiLevelType w:val="hybridMultilevel"/>
    <w:tmpl w:val="C63ED652"/>
    <w:lvl w:ilvl="0" w:tplc="AE882908">
      <w:start w:val="1"/>
      <w:numFmt w:val="decimal"/>
      <w:lvlText w:val="%1."/>
      <w:lvlJc w:val="left"/>
      <w:pPr>
        <w:ind w:left="540" w:hanging="300"/>
      </w:pPr>
    </w:lvl>
    <w:lvl w:ilvl="1" w:tplc="9CE8E3F8">
      <w:numFmt w:val="decimal"/>
      <w:lvlText w:val=""/>
      <w:lvlJc w:val="left"/>
    </w:lvl>
    <w:lvl w:ilvl="2" w:tplc="25E2B10E">
      <w:numFmt w:val="decimal"/>
      <w:lvlText w:val=""/>
      <w:lvlJc w:val="left"/>
    </w:lvl>
    <w:lvl w:ilvl="3" w:tplc="D7C09DF6">
      <w:numFmt w:val="decimal"/>
      <w:lvlText w:val=""/>
      <w:lvlJc w:val="left"/>
    </w:lvl>
    <w:lvl w:ilvl="4" w:tplc="52F2A5CC">
      <w:numFmt w:val="decimal"/>
      <w:lvlText w:val=""/>
      <w:lvlJc w:val="left"/>
    </w:lvl>
    <w:lvl w:ilvl="5" w:tplc="F66AC770">
      <w:numFmt w:val="decimal"/>
      <w:lvlText w:val=""/>
      <w:lvlJc w:val="left"/>
    </w:lvl>
    <w:lvl w:ilvl="6" w:tplc="8AC8A74E">
      <w:numFmt w:val="decimal"/>
      <w:lvlText w:val=""/>
      <w:lvlJc w:val="left"/>
    </w:lvl>
    <w:lvl w:ilvl="7" w:tplc="F9D4E80C">
      <w:numFmt w:val="decimal"/>
      <w:lvlText w:val=""/>
      <w:lvlJc w:val="left"/>
    </w:lvl>
    <w:lvl w:ilvl="8" w:tplc="A3DE22B6">
      <w:numFmt w:val="decimal"/>
      <w:lvlText w:val=""/>
      <w:lvlJc w:val="left"/>
    </w:lvl>
  </w:abstractNum>
  <w:abstractNum w:abstractNumId="4" w15:restartNumberingAfterBreak="0">
    <w:nsid w:val="45C714A2"/>
    <w:multiLevelType w:val="hybridMultilevel"/>
    <w:tmpl w:val="88DCDFAC"/>
    <w:lvl w:ilvl="0" w:tplc="59EE6554">
      <w:start w:val="1"/>
      <w:numFmt w:val="decimal"/>
      <w:lvlText w:val="%1."/>
      <w:lvlJc w:val="left"/>
      <w:pPr>
        <w:ind w:left="540" w:hanging="300"/>
      </w:pPr>
    </w:lvl>
    <w:lvl w:ilvl="1" w:tplc="B76AF96C">
      <w:numFmt w:val="decimal"/>
      <w:lvlText w:val=""/>
      <w:lvlJc w:val="left"/>
    </w:lvl>
    <w:lvl w:ilvl="2" w:tplc="63343A32">
      <w:numFmt w:val="decimal"/>
      <w:lvlText w:val=""/>
      <w:lvlJc w:val="left"/>
    </w:lvl>
    <w:lvl w:ilvl="3" w:tplc="EF6CC674">
      <w:numFmt w:val="decimal"/>
      <w:lvlText w:val=""/>
      <w:lvlJc w:val="left"/>
    </w:lvl>
    <w:lvl w:ilvl="4" w:tplc="0C4C43B4">
      <w:numFmt w:val="decimal"/>
      <w:lvlText w:val=""/>
      <w:lvlJc w:val="left"/>
    </w:lvl>
    <w:lvl w:ilvl="5" w:tplc="D390DC42">
      <w:numFmt w:val="decimal"/>
      <w:lvlText w:val=""/>
      <w:lvlJc w:val="left"/>
    </w:lvl>
    <w:lvl w:ilvl="6" w:tplc="7A56C460">
      <w:numFmt w:val="decimal"/>
      <w:lvlText w:val=""/>
      <w:lvlJc w:val="left"/>
    </w:lvl>
    <w:lvl w:ilvl="7" w:tplc="1F5ECDE8">
      <w:numFmt w:val="decimal"/>
      <w:lvlText w:val=""/>
      <w:lvlJc w:val="left"/>
    </w:lvl>
    <w:lvl w:ilvl="8" w:tplc="BEB01D68">
      <w:numFmt w:val="decimal"/>
      <w:lvlText w:val=""/>
      <w:lvlJc w:val="left"/>
    </w:lvl>
  </w:abstractNum>
  <w:abstractNum w:abstractNumId="5" w15:restartNumberingAfterBreak="0">
    <w:nsid w:val="4FAC3BA3"/>
    <w:multiLevelType w:val="hybridMultilevel"/>
    <w:tmpl w:val="22EC2528"/>
    <w:lvl w:ilvl="0" w:tplc="EFF2B9D0">
      <w:start w:val="1"/>
      <w:numFmt w:val="bullet"/>
      <w:lvlText w:val="•"/>
      <w:lvlJc w:val="left"/>
      <w:pPr>
        <w:ind w:left="540" w:hanging="300"/>
      </w:pPr>
    </w:lvl>
    <w:lvl w:ilvl="1" w:tplc="FFFCEBE6">
      <w:numFmt w:val="decimal"/>
      <w:lvlText w:val=""/>
      <w:lvlJc w:val="left"/>
    </w:lvl>
    <w:lvl w:ilvl="2" w:tplc="67BADC2A">
      <w:numFmt w:val="decimal"/>
      <w:lvlText w:val=""/>
      <w:lvlJc w:val="left"/>
    </w:lvl>
    <w:lvl w:ilvl="3" w:tplc="B0AE7056">
      <w:numFmt w:val="decimal"/>
      <w:lvlText w:val=""/>
      <w:lvlJc w:val="left"/>
    </w:lvl>
    <w:lvl w:ilvl="4" w:tplc="0A6E77A2">
      <w:numFmt w:val="decimal"/>
      <w:lvlText w:val=""/>
      <w:lvlJc w:val="left"/>
    </w:lvl>
    <w:lvl w:ilvl="5" w:tplc="EB663DF6">
      <w:numFmt w:val="decimal"/>
      <w:lvlText w:val=""/>
      <w:lvlJc w:val="left"/>
    </w:lvl>
    <w:lvl w:ilvl="6" w:tplc="6E9A6E70">
      <w:numFmt w:val="decimal"/>
      <w:lvlText w:val=""/>
      <w:lvlJc w:val="left"/>
    </w:lvl>
    <w:lvl w:ilvl="7" w:tplc="5CEAD480">
      <w:numFmt w:val="decimal"/>
      <w:lvlText w:val=""/>
      <w:lvlJc w:val="left"/>
    </w:lvl>
    <w:lvl w:ilvl="8" w:tplc="B8DAF504">
      <w:numFmt w:val="decimal"/>
      <w:lvlText w:val=""/>
      <w:lvlJc w:val="left"/>
    </w:lvl>
  </w:abstractNum>
  <w:abstractNum w:abstractNumId="6" w15:restartNumberingAfterBreak="0">
    <w:nsid w:val="5CD476DD"/>
    <w:multiLevelType w:val="hybridMultilevel"/>
    <w:tmpl w:val="96F0F8F8"/>
    <w:lvl w:ilvl="0" w:tplc="CD1A11B2">
      <w:start w:val="1"/>
      <w:numFmt w:val="decimal"/>
      <w:lvlText w:val="%1."/>
      <w:lvlJc w:val="left"/>
      <w:pPr>
        <w:ind w:left="540" w:hanging="300"/>
      </w:pPr>
    </w:lvl>
    <w:lvl w:ilvl="1" w:tplc="4D8EB084">
      <w:numFmt w:val="decimal"/>
      <w:lvlText w:val=""/>
      <w:lvlJc w:val="left"/>
    </w:lvl>
    <w:lvl w:ilvl="2" w:tplc="5104683A">
      <w:numFmt w:val="decimal"/>
      <w:lvlText w:val=""/>
      <w:lvlJc w:val="left"/>
    </w:lvl>
    <w:lvl w:ilvl="3" w:tplc="01789DDC">
      <w:numFmt w:val="decimal"/>
      <w:lvlText w:val=""/>
      <w:lvlJc w:val="left"/>
    </w:lvl>
    <w:lvl w:ilvl="4" w:tplc="84A8B3EA">
      <w:numFmt w:val="decimal"/>
      <w:lvlText w:val=""/>
      <w:lvlJc w:val="left"/>
    </w:lvl>
    <w:lvl w:ilvl="5" w:tplc="BFA48D9A">
      <w:numFmt w:val="decimal"/>
      <w:lvlText w:val=""/>
      <w:lvlJc w:val="left"/>
    </w:lvl>
    <w:lvl w:ilvl="6" w:tplc="F78AF8F0">
      <w:numFmt w:val="decimal"/>
      <w:lvlText w:val=""/>
      <w:lvlJc w:val="left"/>
    </w:lvl>
    <w:lvl w:ilvl="7" w:tplc="A762E924">
      <w:numFmt w:val="decimal"/>
      <w:lvlText w:val=""/>
      <w:lvlJc w:val="left"/>
    </w:lvl>
    <w:lvl w:ilvl="8" w:tplc="C874B5A2">
      <w:numFmt w:val="decimal"/>
      <w:lvlText w:val=""/>
      <w:lvlJc w:val="left"/>
    </w:lvl>
  </w:abstractNum>
  <w:abstractNum w:abstractNumId="7" w15:restartNumberingAfterBreak="0">
    <w:nsid w:val="63B25C97"/>
    <w:multiLevelType w:val="hybridMultilevel"/>
    <w:tmpl w:val="BB66D062"/>
    <w:lvl w:ilvl="0" w:tplc="B6A6A49E">
      <w:start w:val="1"/>
      <w:numFmt w:val="bullet"/>
      <w:lvlText w:val="•"/>
      <w:lvlJc w:val="left"/>
      <w:pPr>
        <w:ind w:left="540" w:hanging="300"/>
      </w:pPr>
    </w:lvl>
    <w:lvl w:ilvl="1" w:tplc="B226D104">
      <w:numFmt w:val="decimal"/>
      <w:lvlText w:val=""/>
      <w:lvlJc w:val="left"/>
    </w:lvl>
    <w:lvl w:ilvl="2" w:tplc="4470E9B4">
      <w:numFmt w:val="decimal"/>
      <w:lvlText w:val=""/>
      <w:lvlJc w:val="left"/>
    </w:lvl>
    <w:lvl w:ilvl="3" w:tplc="48CAC7F6">
      <w:numFmt w:val="decimal"/>
      <w:lvlText w:val=""/>
      <w:lvlJc w:val="left"/>
    </w:lvl>
    <w:lvl w:ilvl="4" w:tplc="E4CAA92A">
      <w:numFmt w:val="decimal"/>
      <w:lvlText w:val=""/>
      <w:lvlJc w:val="left"/>
    </w:lvl>
    <w:lvl w:ilvl="5" w:tplc="544AF2BA">
      <w:numFmt w:val="decimal"/>
      <w:lvlText w:val=""/>
      <w:lvlJc w:val="left"/>
    </w:lvl>
    <w:lvl w:ilvl="6" w:tplc="8F680648">
      <w:numFmt w:val="decimal"/>
      <w:lvlText w:val=""/>
      <w:lvlJc w:val="left"/>
    </w:lvl>
    <w:lvl w:ilvl="7" w:tplc="4C92F140">
      <w:numFmt w:val="decimal"/>
      <w:lvlText w:val=""/>
      <w:lvlJc w:val="left"/>
    </w:lvl>
    <w:lvl w:ilvl="8" w:tplc="DEF87D9C">
      <w:numFmt w:val="decimal"/>
      <w:lvlText w:val=""/>
      <w:lvlJc w:val="left"/>
    </w:lvl>
  </w:abstractNum>
  <w:abstractNum w:abstractNumId="8" w15:restartNumberingAfterBreak="0">
    <w:nsid w:val="6DB450E9"/>
    <w:multiLevelType w:val="hybridMultilevel"/>
    <w:tmpl w:val="95928998"/>
    <w:lvl w:ilvl="0" w:tplc="FE0248C8">
      <w:start w:val="1"/>
      <w:numFmt w:val="bullet"/>
      <w:lvlText w:val="•"/>
      <w:lvlJc w:val="left"/>
      <w:pPr>
        <w:ind w:left="540" w:hanging="300"/>
      </w:pPr>
    </w:lvl>
    <w:lvl w:ilvl="1" w:tplc="9A4847FE">
      <w:numFmt w:val="decimal"/>
      <w:lvlText w:val=""/>
      <w:lvlJc w:val="left"/>
    </w:lvl>
    <w:lvl w:ilvl="2" w:tplc="3092D10C">
      <w:numFmt w:val="decimal"/>
      <w:lvlText w:val=""/>
      <w:lvlJc w:val="left"/>
    </w:lvl>
    <w:lvl w:ilvl="3" w:tplc="5344A6E2">
      <w:numFmt w:val="decimal"/>
      <w:lvlText w:val=""/>
      <w:lvlJc w:val="left"/>
    </w:lvl>
    <w:lvl w:ilvl="4" w:tplc="D2162DFC">
      <w:numFmt w:val="decimal"/>
      <w:lvlText w:val=""/>
      <w:lvlJc w:val="left"/>
    </w:lvl>
    <w:lvl w:ilvl="5" w:tplc="6098266A">
      <w:numFmt w:val="decimal"/>
      <w:lvlText w:val=""/>
      <w:lvlJc w:val="left"/>
    </w:lvl>
    <w:lvl w:ilvl="6" w:tplc="121AC02E">
      <w:numFmt w:val="decimal"/>
      <w:lvlText w:val=""/>
      <w:lvlJc w:val="left"/>
    </w:lvl>
    <w:lvl w:ilvl="7" w:tplc="59382728">
      <w:numFmt w:val="decimal"/>
      <w:lvlText w:val=""/>
      <w:lvlJc w:val="left"/>
    </w:lvl>
    <w:lvl w:ilvl="8" w:tplc="99943AF8">
      <w:numFmt w:val="decimal"/>
      <w:lvlText w:val=""/>
      <w:lvlJc w:val="left"/>
    </w:lvl>
  </w:abstractNum>
  <w:abstractNum w:abstractNumId="9" w15:restartNumberingAfterBreak="0">
    <w:nsid w:val="7B3E48EB"/>
    <w:multiLevelType w:val="hybridMultilevel"/>
    <w:tmpl w:val="67DCF432"/>
    <w:lvl w:ilvl="0" w:tplc="C82CDE0A">
      <w:start w:val="1"/>
      <w:numFmt w:val="decimal"/>
      <w:lvlText w:val="%1."/>
      <w:lvlJc w:val="left"/>
      <w:pPr>
        <w:ind w:left="540" w:hanging="300"/>
      </w:pPr>
    </w:lvl>
    <w:lvl w:ilvl="1" w:tplc="9E4C6146">
      <w:numFmt w:val="decimal"/>
      <w:lvlText w:val=""/>
      <w:lvlJc w:val="left"/>
    </w:lvl>
    <w:lvl w:ilvl="2" w:tplc="2EE6AEDC">
      <w:numFmt w:val="decimal"/>
      <w:lvlText w:val=""/>
      <w:lvlJc w:val="left"/>
    </w:lvl>
    <w:lvl w:ilvl="3" w:tplc="AB0454F6">
      <w:numFmt w:val="decimal"/>
      <w:lvlText w:val=""/>
      <w:lvlJc w:val="left"/>
    </w:lvl>
    <w:lvl w:ilvl="4" w:tplc="C2CA3238">
      <w:numFmt w:val="decimal"/>
      <w:lvlText w:val=""/>
      <w:lvlJc w:val="left"/>
    </w:lvl>
    <w:lvl w:ilvl="5" w:tplc="FC40DD48">
      <w:numFmt w:val="decimal"/>
      <w:lvlText w:val=""/>
      <w:lvlJc w:val="left"/>
    </w:lvl>
    <w:lvl w:ilvl="6" w:tplc="CE6240D6">
      <w:numFmt w:val="decimal"/>
      <w:lvlText w:val=""/>
      <w:lvlJc w:val="left"/>
    </w:lvl>
    <w:lvl w:ilvl="7" w:tplc="E0AEF084">
      <w:numFmt w:val="decimal"/>
      <w:lvlText w:val=""/>
      <w:lvlJc w:val="left"/>
    </w:lvl>
    <w:lvl w:ilvl="8" w:tplc="951AA218">
      <w:numFmt w:val="decimal"/>
      <w:lvlText w:val=""/>
      <w:lvlJc w:val="left"/>
    </w:lvl>
  </w:abstractNum>
  <w:num w:numId="1" w16cid:durableId="384372045">
    <w:abstractNumId w:val="2"/>
    <w:lvlOverride w:ilvl="0">
      <w:startOverride w:val="1"/>
    </w:lvlOverride>
  </w:num>
  <w:num w:numId="2" w16cid:durableId="1044137276">
    <w:abstractNumId w:val="7"/>
    <w:lvlOverride w:ilvl="0">
      <w:startOverride w:val="1"/>
    </w:lvlOverride>
  </w:num>
  <w:num w:numId="3" w16cid:durableId="34669632">
    <w:abstractNumId w:val="4"/>
    <w:lvlOverride w:ilvl="0">
      <w:startOverride w:val="1"/>
    </w:lvlOverride>
  </w:num>
  <w:num w:numId="4" w16cid:durableId="1479228628">
    <w:abstractNumId w:val="3"/>
    <w:lvlOverride w:ilvl="0">
      <w:startOverride w:val="1"/>
    </w:lvlOverride>
  </w:num>
  <w:num w:numId="5" w16cid:durableId="531188940">
    <w:abstractNumId w:val="8"/>
    <w:lvlOverride w:ilvl="0">
      <w:startOverride w:val="1"/>
    </w:lvlOverride>
  </w:num>
  <w:num w:numId="6" w16cid:durableId="331762710">
    <w:abstractNumId w:val="9"/>
    <w:lvlOverride w:ilvl="0">
      <w:startOverride w:val="1"/>
    </w:lvlOverride>
  </w:num>
  <w:num w:numId="7" w16cid:durableId="1349218842">
    <w:abstractNumId w:val="6"/>
    <w:lvlOverride w:ilvl="0">
      <w:startOverride w:val="1"/>
    </w:lvlOverride>
  </w:num>
  <w:num w:numId="8" w16cid:durableId="1348403233">
    <w:abstractNumId w:val="0"/>
    <w:lvlOverride w:ilvl="0">
      <w:startOverride w:val="1"/>
    </w:lvlOverride>
  </w:num>
  <w:num w:numId="9" w16cid:durableId="1158764837">
    <w:abstractNumId w:val="5"/>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5"/>
  <w:displayBackgroundShape/>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37C4"/>
    <w:rsid w:val="00142B7D"/>
    <w:rsid w:val="002537C4"/>
    <w:rsid w:val="003446BB"/>
    <w:rsid w:val="0048693D"/>
    <w:rsid w:val="004C1E9D"/>
    <w:rsid w:val="00571CE7"/>
    <w:rsid w:val="005E0653"/>
    <w:rsid w:val="006B4040"/>
    <w:rsid w:val="00802C49"/>
    <w:rsid w:val="008052B1"/>
    <w:rsid w:val="008A681B"/>
    <w:rsid w:val="008D246E"/>
    <w:rsid w:val="009B6AA2"/>
    <w:rsid w:val="009E1B58"/>
    <w:rsid w:val="00B14EA3"/>
    <w:rsid w:val="00B42DDD"/>
    <w:rsid w:val="00BA2363"/>
    <w:rsid w:val="00C47030"/>
    <w:rsid w:val="00DA7E6C"/>
    <w:rsid w:val="00DC0576"/>
    <w:rsid w:val="00DE7F9C"/>
    <w:rsid w:val="00F002E1"/>
    <w:rsid w:val="08011BA8"/>
    <w:rsid w:val="0D87B521"/>
    <w:rsid w:val="1119F938"/>
    <w:rsid w:val="114559CA"/>
    <w:rsid w:val="145DE8A9"/>
    <w:rsid w:val="14D2839F"/>
    <w:rsid w:val="194EA643"/>
    <w:rsid w:val="1F088450"/>
    <w:rsid w:val="21FFA660"/>
    <w:rsid w:val="259A3093"/>
    <w:rsid w:val="2B4CC6B8"/>
    <w:rsid w:val="3EBCB9E3"/>
    <w:rsid w:val="3F9AF117"/>
    <w:rsid w:val="40EE4D07"/>
    <w:rsid w:val="4362F654"/>
    <w:rsid w:val="5730D72D"/>
    <w:rsid w:val="57FDB6E1"/>
    <w:rsid w:val="5AFCE25B"/>
    <w:rsid w:val="5C0E40CF"/>
    <w:rsid w:val="6245E50D"/>
    <w:rsid w:val="6440DE6E"/>
    <w:rsid w:val="68DCAB12"/>
    <w:rsid w:val="6FC70006"/>
    <w:rsid w:val="70C1CE6C"/>
    <w:rsid w:val="70FF268A"/>
    <w:rsid w:val="73449AD8"/>
  </w:rsids>
  <m:mathPr>
    <m:mathFont m:val="Cambria Math"/>
    <m:brkBin m:val="before"/>
    <m:brkBinSub m:val="--"/>
    <m:smallFrac m:val="0"/>
    <m:dispDef/>
    <m:lMargin m:val="0"/>
    <m:rMargin m:val="0"/>
    <m:defJc m:val="centerGroup"/>
    <m:wrapIndent m:val="1440"/>
    <m:intLim m:val="subSup"/>
    <m:naryLim m:val="undOvr"/>
  </m:mathPr>
  <w:themeFontLang w:val="en-AU"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3DA5F58A"/>
  <w15:docId w15:val="{58B0F9A3-89E4-9449-8267-3EB41BE2CA1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hAnsi="Arial" w:cs="Arial" w:eastAsiaTheme="minorEastAsia"/>
        <w:sz w:val="22"/>
        <w:szCs w:val="22"/>
        <w:lang w:val="en-AU"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120" w:line="240" w:lineRule="auto"/>
    </w:pPr>
    <w:rPr>
      <w:rFonts w:ascii="Times New Roman" w:hAnsi="Times New Roman"/>
      <w:sz w:val="22"/>
    </w:rPr>
  </w:style>
  <w:style w:type="paragraph" w:styleId="Heading1">
    <w:name w:val="heading 1"/>
    <w:uiPriority w:val="9"/>
    <w:qFormat/>
    <w:pPr>
      <w:keepNext/>
      <w:spacing w:before="160" w:after="120"/>
      <w:outlineLvl w:val="0"/>
    </w:pPr>
    <w:rPr>
      <w:rFonts w:ascii="Times New Roman" w:hAnsi="Times New Roman"/>
      <w:b/>
      <w:bCs/>
      <w:color w:val="1F3864"/>
      <w:sz w:val="30"/>
      <w:szCs w:val="30"/>
    </w:rPr>
  </w:style>
  <w:style w:type="paragraph" w:styleId="Heading2">
    <w:name w:val="heading 2"/>
    <w:uiPriority w:val="9"/>
    <w:semiHidden/>
    <w:unhideWhenUsed/>
    <w:qFormat/>
    <w:pPr>
      <w:keepNext/>
      <w:spacing w:before="160" w:after="120"/>
      <w:outlineLvl w:val="1"/>
    </w:pPr>
    <w:rPr>
      <w:rFonts w:ascii="Times New Roman" w:hAnsi="Times New Roman"/>
      <w:b/>
      <w:color w:val="1F3864"/>
      <w:sz w:val="25"/>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pPr>
      <w:keepNext/>
      <w:spacing w:after="120" w:before="160"/>
    </w:pPr>
    <w:rPr>
      <w:rFonts w:ascii="Times New Roman" w:hAnsi="Times New Roman"/>
      <w:b/>
      <w:bCs/>
      <w:color w:val="1F3864"/>
      <w:sz w:val="48"/>
      <w:szCs w:val="40"/>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footer" Target="footer1.xml"/><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ELEC5623 Group 9</dc:creator>
  <lastModifiedBy>Hengyu Wang</lastModifiedBy>
  <revision>22</revision>
  <dcterms:created xsi:type="dcterms:W3CDTF">2026-10-15T22:29:00.0000000Z</dcterms:created>
  <dcterms:modified xsi:type="dcterms:W3CDTF">2026-10-19T22:29:42.9895256Z</dcterms:modified>
  <dc:title>Preconsultation Preparation Agent Final Report</dc:title>
  <dc:subject>ELEC5623 Assessment 2 Track A Group 9</dc:subject>
  <keywords>PreConsult; patient preparation; source provenance; bounded agent; evaluation</keywords>
  <dc:description/>
</coreProperties>
</file>