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замене дверей 1-го этажа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«РПК 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Кошелевой Светланы Евгеньевны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замене дверей 1-го этажа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364 000 (триста шестьдесят четыре тысячи)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- 60 666 (шестьдесят тысяч шестьсот шестьдесят шесть) рублей 67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364 000 (триста шестьдесят четыре тысячи)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«РПК 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6229092838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1196234006451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40702810202000106598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40738477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rpks2019@mail.ru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Замена дверей 1-го этажа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