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{{</w:t>
      </w:r>
      <w:r w:rsidR="009F2914">
        <w:rPr>
          <w:rFonts w:ascii="Times New Roman" w:eastAsia="Times New Roman" w:hAnsi="Times New Roman" w:cs="Times New Roman"/>
          <w:b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>}}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company</w:t>
      </w:r>
      <w:r w:rsidR="009F2914" w:rsidRPr="009F2914">
        <w:rPr>
          <w:rFonts w:ascii="Times New Roman" w:eastAsia="Times New Roman" w:hAnsi="Times New Roman" w:cs="Times New Roman"/>
          <w:sz w:val="24"/>
        </w:rPr>
        <w:t>_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>{{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r w:rsidR="009F291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9F2914" w:rsidRPr="009F291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F2914">
        <w:rPr>
          <w:rFonts w:ascii="Times New Roman" w:hAnsi="Times New Roman" w:cs="Times New Roman"/>
          <w:sz w:val="24"/>
          <w:szCs w:val="24"/>
          <w:lang w:val="en-US"/>
        </w:rPr>
        <w:t>schief</w:t>
      </w:r>
      <w:proofErr w:type="spellEnd"/>
      <w:r w:rsidR="009F2914" w:rsidRPr="009F2914">
        <w:rPr>
          <w:rFonts w:ascii="Times New Roman" w:hAnsi="Times New Roman" w:cs="Times New Roman"/>
          <w:sz w:val="24"/>
          <w:szCs w:val="24"/>
        </w:rPr>
        <w:t>}}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>{{</w:t>
      </w:r>
      <w:r w:rsidR="009F2914">
        <w:rPr>
          <w:rFonts w:ascii="Times New Roman" w:eastAsia="Times New Roman" w:hAnsi="Times New Roman" w:cs="Times New Roman"/>
          <w:sz w:val="24"/>
          <w:lang w:val="en-US"/>
        </w:rPr>
        <w:t>work</w:t>
      </w:r>
      <w:r w:rsidR="009F2914" w:rsidRPr="009F2914">
        <w:rPr>
          <w:rFonts w:ascii="Times New Roman" w:eastAsia="Times New Roman" w:hAnsi="Times New Roman" w:cs="Times New Roman"/>
          <w:sz w:val="24"/>
        </w:rPr>
        <w:t>}}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>{{ikz}}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summ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nds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proofErr w:type="spellEnd"/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proofErr w:type="spellStart"/>
      <w:r w:rsidR="009F2914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sum</w:t>
      </w:r>
      <w:r w:rsidR="00764D83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m</w:t>
      </w:r>
      <w:proofErr w:type="spellEnd"/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{{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ist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_</w:t>
      </w:r>
      <w:r w:rsidR="001C627D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fin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>}}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compa</w:t>
            </w:r>
            <w:r w:rsidR="00B736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y_work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>}}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ua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fa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phone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inn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kpp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ogrn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rs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bank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ks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bik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okpo</w:t>
            </w:r>
            <w:proofErr w:type="spellEnd"/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{{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mail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}}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work</w:t>
            </w:r>
            <w:r w:rsidR="009A00E3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9A00E3">
              <w:rPr>
                <w:rFonts w:ascii="Times New Roman" w:eastAsia="Times New Roman" w:hAnsi="Times New Roman" w:cs="Times New Roman"/>
                <w:sz w:val="24"/>
                <w:lang w:val="en-US"/>
              </w:rPr>
              <w:t>name</w:t>
            </w:r>
            <w:r w:rsidRPr="001C65D4">
              <w:rPr>
                <w:rFonts w:ascii="Times New Roman" w:eastAsia="Times New Roman" w:hAnsi="Times New Roman" w:cs="Times New Roman"/>
                <w:sz w:val="24"/>
              </w:rPr>
              <w:t>}}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{{</w:t>
            </w:r>
            <w:proofErr w:type="spellStart"/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company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work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_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s</w:t>
            </w:r>
            <w:r w:rsidR="00C858D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c</w:t>
            </w:r>
            <w:r w:rsidR="001C65D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hief_sm</w:t>
            </w:r>
            <w:proofErr w:type="spellEnd"/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}}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