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Consolas" w:cs="Consolas" w:eastAsia="Consolas" w:hAnsi="Consolas"/>
          <w:color w:val="6E7BF2"/>
          <w:sz w:val="18"/>
          <w:szCs w:val="18"/>
        </w:rPr>
        <w:t xml:space="preserve">HALA — A KHAAS HUB PRODUCT</w:t>
      </w:r>
    </w:p>
    <w:p>
      <w:pPr>
        <w:spacing w:after="200"/>
      </w:pPr>
      <w:r>
        <w:rPr>
          <w:rFonts w:ascii="Plus Jakarta Sans" w:cs="Plus Jakarta Sans" w:eastAsia="Plus Jakarta Sans" w:hAnsi="Plus Jakarta Sans"/>
          <w:b/>
          <w:bCs/>
          <w:color w:val="08080A"/>
          <w:sz w:val="72"/>
          <w:szCs w:val="72"/>
        </w:rPr>
        <w:t xml:space="preserve">Brand Guidelines</w:t>
      </w:r>
    </w:p>
    <w:p>
      <w:pPr>
        <w:spacing w:after="160"/>
      </w:pPr>
      <w:r>
        <w:rPr>
          <w:rFonts w:ascii="Inter" w:cs="Inter" w:eastAsia="Inter" w:hAnsi="Inter"/>
          <w:color w:val="44444A"/>
          <w:sz w:val="23"/>
          <w:szCs w:val="23"/>
        </w:rPr>
        <w:t xml:space="preserve">How Hala looks, sounds and behaves in marketing — built from the product site at hala.khaashub.com, for anyone making social content on the brand’s behalf.</w:t>
      </w:r>
    </w:p>
    <w:p>
      <w:pPr>
        <w:spacing w:after="160"/>
      </w:pPr>
      <w:r>
        <w:rPr>
          <w:rFonts w:ascii="Inter" w:cs="Inter" w:eastAsia="Inter" w:hAnsi="Inter"/>
          <w:i/>
          <w:iCs/>
          <w:color w:val="5A5A5E"/>
          <w:sz w:val="18"/>
          <w:szCs w:val="18"/>
        </w:rPr>
        <w:t xml:space="preserve">Version 1.0 · August 2026 · Editable working copy — the designed reference is hala-brand-guidelines.html / .pdf</w:t>
      </w:r>
    </w:p>
    <w:p>
      <w:pPr>
        <w:pStyle w:val="Heading1"/>
        <w:spacing w:after="200" w:before="520"/>
      </w:pPr>
      <w:r>
        <w:rPr>
          <w:rFonts w:ascii="Consolas" w:cs="Consolas" w:eastAsia="Consolas" w:hAnsi="Consolas"/>
          <w:color w:val="6E7BF2"/>
          <w:sz w:val="22"/>
          <w:szCs w:val="22"/>
        </w:rPr>
        <w:t xml:space="preserve">01  </w:t>
      </w:r>
      <w:r>
        <w:rPr>
          <w:rFonts w:ascii="Plus Jakarta Sans" w:cs="Plus Jakarta Sans" w:eastAsia="Plus Jakarta Sans" w:hAnsi="Plus Jakarta Sans"/>
          <w:b/>
          <w:bCs/>
          <w:color w:val="08080A"/>
          <w:sz w:val="40"/>
          <w:szCs w:val="40"/>
        </w:rPr>
        <w:t xml:space="preserve">The brand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Hala answers every call, message and enquiry on the first ring, books customers in, follows up, and hands over to your team when someone needs a person. 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That sentence is the brand — every piece of marketing is some part of it made concrete.</w:t>
      </w:r>
    </w:p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The name</w:t>
      </w:r>
    </w:p>
    <w:p>
      <w:pPr>
        <w:spacing w:after="16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هالة means halo. The name also lands as a greeting — “Hala!” is how you welcome someone in much of the Arabic-speaking world, and it sounds close to “Hello”. In every language the brand is written </w:t>
      </w: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Hala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in Latin script — including inside German and Arabic sentences.</w:t>
      </w:r>
    </w:p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Who it speaks to</w:t>
      </w:r>
    </w:p>
    <w:p>
      <w:pPr>
        <w:spacing w:after="16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Owners of busy local businesses — restaurants, takeaways, salons, clinics, trades — who lose customers every day to an unanswered phone. Practical, time-poor, allergic to tech hype. The brand speaks to them in their working day: Friday 19:42, mid-service, plating desserts. Never in AI-industry language.</w:t>
      </w:r>
    </w:p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Positioning spine</w:t>
      </w:r>
    </w:p>
    <w:p>
      <w:pPr>
        <w:spacing w:after="16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The core promise is industry-neutral — customers, enquiries, appointments. Sector-specific words (covers, allergens, stylists, patch tests) belong only in industry-scene content, one sector at a time. Adding an industry never changes the core message.</w:t>
      </w:r>
    </w:p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Product and parent</w:t>
      </w:r>
    </w:p>
    <w:p>
      <w:pPr>
        <w:spacing w:after="16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Hala is a Khaas Hub product. The lockup is “Hala by Khaas Hub” — Hala leads, the byline stays quiet. On social, Hala gets its own accounts; Khaas Hub appears in the byline and about text only.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2E8B62"/>
          <w:sz w:val="21"/>
          <w:szCs w:val="21"/>
        </w:rPr>
        <w:t xml:space="preserve">The one-sentence test: 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if a post can’t be traced back to “answers on the first ring, books, follows up, hands over”, it’s off-brand — however clever it is.</w:t>
      </w:r>
    </w:p>
    <w:p>
      <w:pPr>
        <w:pStyle w:val="Heading1"/>
        <w:spacing w:after="200" w:before="520"/>
      </w:pPr>
      <w:r>
        <w:rPr>
          <w:rFonts w:ascii="Consolas" w:cs="Consolas" w:eastAsia="Consolas" w:hAnsi="Consolas"/>
          <w:color w:val="6E7BF2"/>
          <w:sz w:val="22"/>
          <w:szCs w:val="22"/>
        </w:rPr>
        <w:t xml:space="preserve">02  </w:t>
      </w:r>
      <w:r>
        <w:rPr>
          <w:rFonts w:ascii="Plus Jakarta Sans" w:cs="Plus Jakarta Sans" w:eastAsia="Plus Jakarta Sans" w:hAnsi="Plus Jakarta Sans"/>
          <w:b/>
          <w:bCs/>
          <w:color w:val="08080A"/>
          <w:sz w:val="40"/>
          <w:szCs w:val="40"/>
        </w:rPr>
        <w:t xml:space="preserve">Logo</w:t>
      </w:r>
    </w:p>
    <w:p>
      <w:pPr>
        <w:spacing w:after="16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The mark is an open ring — a halo — with a dot resting where the ring opens. The gap reads as a speech tail, the dot as the reply. The dot is Live Green, the same green the product uses for live status. The 90° gap is centred at the bottom so both ends land at the 4 and 8 o’clock positions, where a headset’s earcups sit: </w:t>
      </w: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a halo to anyone who knows the name’s meaning, a headset to everyone else.</w:t>
      </w:r>
    </w:p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Variants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Primary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colour on dark (ring #6E7BF2, dot #3ECF8E). Use at 24px and larger. File: hala-mark-color.svg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Small cut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below 24px: heavier stroke, ring brightened to #8E9BFF. File: hala-mark-small.svg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Mono white / mono black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single-colour contexts: print, embroidery, watermarks.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Lockup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mark + “Hala” in Plus Jakarta Sans 700, tracking −0.01em. Minimum 32px tall.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Avatar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the mark alone at ~60% of the tile on the Night background. Never the lockup in a small circle.</w:t>
      </w:r>
    </w:p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Clear space &amp; minimum size</w:t>
      </w:r>
    </w:p>
    <w:p>
      <w:pPr>
        <w:spacing w:after="16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Clear space equal to half the ring’s diameter on every side. Minimums: 20px small cut, 24px standard, 32px lockup.</w:t>
      </w:r>
    </w:p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Don’t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“Correct” the gap into a tidy speech-bubble opening, or close it into a full circle — the 4-and-8-o’clock opening is the whole idea.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Recolour the dot — it is green because green means “live” everywhere in the product.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Add a second dot, rotate the mark, outline it, add gradients or shadows, or set it in a container shape.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Place the colour mark on busy photography or mid-tone backgrounds — switch to mono.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Redraw the wordmark in any other face or weight.</w:t>
      </w:r>
    </w:p>
    <w:p>
      <w:pPr>
        <w:pStyle w:val="Heading1"/>
        <w:spacing w:after="200" w:before="520"/>
      </w:pPr>
      <w:r>
        <w:rPr>
          <w:rFonts w:ascii="Consolas" w:cs="Consolas" w:eastAsia="Consolas" w:hAnsi="Consolas"/>
          <w:color w:val="6E7BF2"/>
          <w:sz w:val="22"/>
          <w:szCs w:val="22"/>
        </w:rPr>
        <w:t xml:space="preserve">03  </w:t>
      </w:r>
      <w:r>
        <w:rPr>
          <w:rFonts w:ascii="Plus Jakarta Sans" w:cs="Plus Jakarta Sans" w:eastAsia="Plus Jakarta Sans" w:hAnsi="Plus Jakarta Sans"/>
          <w:b/>
          <w:bCs/>
          <w:color w:val="08080A"/>
          <w:sz w:val="40"/>
          <w:szCs w:val="40"/>
        </w:rPr>
        <w:t xml:space="preserve">Colour</w:t>
      </w:r>
    </w:p>
    <w:p>
      <w:pPr>
        <w:spacing w:after="16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Hala is a dark brand: near-black surfaces, white type, one indigo accent, hairlines instead of boxes. Colour is used sparingly enough that when it appears, it carries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160"/>
      </w:tblGrid>
      <w:tr>
        <w:tc>
          <w:tcPr>
            <w:tcW w:type="dxa" w:w="19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aps/>
                <w:color w:val="5A5A5E"/>
                <w:sz w:val="17"/>
                <w:szCs w:val="17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aps/>
                <w:color w:val="5A5A5E"/>
                <w:sz w:val="17"/>
                <w:szCs w:val="17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aps/>
                <w:color w:val="5A5A5E"/>
                <w:sz w:val="17"/>
                <w:szCs w:val="17"/>
              </w:rPr>
              <w:t xml:space="preserve">Use</w:t>
            </w:r>
          </w:p>
        </w:tc>
      </w:tr>
      <w:tr>
        <w:tc>
          <w:tcPr>
            <w:tcW w:type="dxa" w:w="19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Night</w:t>
            </w:r>
          </w:p>
        </w:tc>
        <w:tc>
          <w:tcPr>
            <w:tcW w:type="dxa" w:w="23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44448"/>
                <w:sz w:val="18"/>
                <w:szCs w:val="18"/>
              </w:rPr>
              <w:t xml:space="preserve">#08080A</w:t>
            </w:r>
          </w:p>
        </w:tc>
        <w:tc>
          <w:tcPr>
            <w:tcW w:type="dxa" w:w="51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The background. Every social canvas starts here.</w:t>
            </w:r>
          </w:p>
        </w:tc>
      </w:tr>
      <w:tr>
        <w:tc>
          <w:tcPr>
            <w:tcW w:type="dxa" w:w="19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Panel</w:t>
            </w:r>
          </w:p>
        </w:tc>
        <w:tc>
          <w:tcPr>
            <w:tcW w:type="dxa" w:w="23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44448"/>
                <w:sz w:val="18"/>
                <w:szCs w:val="18"/>
              </w:rPr>
              <w:t xml:space="preserve">#141418</w:t>
            </w:r>
          </w:p>
        </w:tc>
        <w:tc>
          <w:tcPr>
            <w:tcW w:type="dxa" w:w="51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Cards and raised surfaces.</w:t>
            </w:r>
          </w:p>
        </w:tc>
      </w:tr>
      <w:tr>
        <w:tc>
          <w:tcPr>
            <w:tcW w:type="dxa" w:w="19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Inset</w:t>
            </w:r>
          </w:p>
        </w:tc>
        <w:tc>
          <w:tcPr>
            <w:tcW w:type="dxa" w:w="23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44448"/>
                <w:sz w:val="18"/>
                <w:szCs w:val="18"/>
              </w:rPr>
              <w:t xml:space="preserve">#1C1C21</w:t>
            </w:r>
          </w:p>
        </w:tc>
        <w:tc>
          <w:tcPr>
            <w:tcW w:type="dxa" w:w="51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Bubbles, inputs, inner surfaces.</w:t>
            </w:r>
          </w:p>
        </w:tc>
      </w:tr>
      <w:tr>
        <w:tc>
          <w:tcPr>
            <w:tcW w:type="dxa" w:w="19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Deep Indigo</w:t>
            </w:r>
          </w:p>
        </w:tc>
        <w:tc>
          <w:tcPr>
            <w:tcW w:type="dxa" w:w="23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44448"/>
                <w:sz w:val="18"/>
                <w:szCs w:val="18"/>
              </w:rPr>
              <w:t xml:space="preserve">#6E7BF2</w:t>
            </w:r>
          </w:p>
        </w:tc>
        <w:tc>
          <w:tcPr>
            <w:tcW w:type="dxa" w:w="51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The accent. One emphasised word per headline, primary buttons, the ring.</w:t>
            </w:r>
          </w:p>
        </w:tc>
      </w:tr>
      <w:tr>
        <w:tc>
          <w:tcPr>
            <w:tcW w:type="dxa" w:w="19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Indigo Bright</w:t>
            </w:r>
          </w:p>
        </w:tc>
        <w:tc>
          <w:tcPr>
            <w:tcW w:type="dxa" w:w="23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44448"/>
                <w:sz w:val="18"/>
                <w:szCs w:val="18"/>
              </w:rPr>
              <w:t xml:space="preserve">#8E9BFF</w:t>
            </w:r>
          </w:p>
        </w:tc>
        <w:tc>
          <w:tcPr>
            <w:tcW w:type="dxa" w:w="51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Small sizes and small text on dark, where #6E7BF2 loses contrast.</w:t>
            </w:r>
          </w:p>
        </w:tc>
      </w:tr>
      <w:tr>
        <w:tc>
          <w:tcPr>
            <w:tcW w:type="dxa" w:w="19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Live Green</w:t>
            </w:r>
          </w:p>
        </w:tc>
        <w:tc>
          <w:tcPr>
            <w:tcW w:type="dxa" w:w="23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44448"/>
                <w:sz w:val="18"/>
                <w:szCs w:val="18"/>
              </w:rPr>
              <w:t xml:space="preserve">#3ECF8E</w:t>
            </w:r>
          </w:p>
        </w:tc>
        <w:tc>
          <w:tcPr>
            <w:tcW w:type="dxa" w:w="51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Live status, confirmations, booked outcomes, the dot. Nothing else.</w:t>
            </w:r>
          </w:p>
        </w:tc>
      </w:tr>
      <w:tr>
        <w:tc>
          <w:tcPr>
            <w:tcW w:type="dxa" w:w="19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White</w:t>
            </w:r>
          </w:p>
        </w:tc>
        <w:tc>
          <w:tcPr>
            <w:tcW w:type="dxa" w:w="23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44448"/>
                <w:sz w:val="18"/>
                <w:szCs w:val="18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Headlines and primary text on dark.</w:t>
            </w:r>
          </w:p>
        </w:tc>
      </w:tr>
      <w:tr>
        <w:tc>
          <w:tcPr>
            <w:tcW w:type="dxa" w:w="19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Muted</w:t>
            </w:r>
          </w:p>
        </w:tc>
        <w:tc>
          <w:tcPr>
            <w:tcW w:type="dxa" w:w="23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44448"/>
                <w:sz w:val="18"/>
                <w:szCs w:val="18"/>
              </w:rPr>
              <w:t xml:space="preserve">#A8A8A8</w:t>
            </w:r>
          </w:p>
        </w:tc>
        <w:tc>
          <w:tcPr>
            <w:tcW w:type="dxa" w:w="51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Body copy on dark.</w:t>
            </w:r>
          </w:p>
        </w:tc>
      </w:tr>
      <w:tr>
        <w:tc>
          <w:tcPr>
            <w:tcW w:type="dxa" w:w="19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Faint</w:t>
            </w:r>
          </w:p>
        </w:tc>
        <w:tc>
          <w:tcPr>
            <w:tcW w:type="dxa" w:w="23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44448"/>
                <w:sz w:val="18"/>
                <w:szCs w:val="18"/>
              </w:rPr>
              <w:t xml:space="preserve">#707070</w:t>
            </w:r>
          </w:p>
        </w:tc>
        <w:tc>
          <w:tcPr>
            <w:tcW w:type="dxa" w:w="51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Captions, metadata, eyebrows, bylines.</w:t>
            </w:r>
          </w:p>
        </w:tc>
      </w:tr>
      <w:tr>
        <w:tc>
          <w:tcPr>
            <w:tcW w:type="dxa" w:w="19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Hairline</w:t>
            </w:r>
          </w:p>
        </w:tc>
        <w:tc>
          <w:tcPr>
            <w:tcW w:type="dxa" w:w="23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44448"/>
                <w:sz w:val="18"/>
                <w:szCs w:val="18"/>
              </w:rPr>
              <w:t xml:space="preserve">rgba(255,255,255,0.10)</w:t>
            </w:r>
          </w:p>
        </w:tc>
        <w:tc>
          <w:tcPr>
            <w:tcW w:type="dxa" w:w="51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Borders and dividers — the brand draws with hairlines, not filled boxes.</w:t>
            </w:r>
          </w:p>
        </w:tc>
      </w:tr>
      <w:tr>
        <w:tc>
          <w:tcPr>
            <w:tcW w:type="dxa" w:w="19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Accent soft</w:t>
            </w:r>
          </w:p>
        </w:tc>
        <w:tc>
          <w:tcPr>
            <w:tcW w:type="dxa" w:w="23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44448"/>
                <w:sz w:val="18"/>
                <w:szCs w:val="18"/>
              </w:rPr>
              <w:t xml:space="preserve">rgba(110,123,242,0.14)</w:t>
            </w:r>
          </w:p>
        </w:tc>
        <w:tc>
          <w:tcPr>
            <w:tcW w:type="dxa" w:w="51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Indigo washes: agent bubbles, tinted panels, glows.</w:t>
            </w:r>
          </w:p>
        </w:tc>
      </w:tr>
    </w:tbl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Roughly 90% of any canvas is Night, Panel and type. Indigo is an accent, not a fill — if a design feels “very purple”, it’s wrong.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One indigo word per headline, chosen for meaning (“lead”, “first ring”) — never whole sentences.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Green only ever means live / confirmed / booked. Don’t decorate with 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WhatsApp green #25D366 and amber #F59E0B appear only as channel/automation icon tones.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On light backgrounds (print, co-branding): Night for type, Deep Indigo as accent, same green rule.</w:t>
      </w:r>
    </w:p>
    <w:p>
      <w:pPr>
        <w:pStyle w:val="Heading1"/>
        <w:spacing w:after="200" w:before="520"/>
      </w:pPr>
      <w:r>
        <w:rPr>
          <w:rFonts w:ascii="Consolas" w:cs="Consolas" w:eastAsia="Consolas" w:hAnsi="Consolas"/>
          <w:color w:val="6E7BF2"/>
          <w:sz w:val="22"/>
          <w:szCs w:val="22"/>
        </w:rPr>
        <w:t xml:space="preserve">04  </w:t>
      </w:r>
      <w:r>
        <w:rPr>
          <w:rFonts w:ascii="Plus Jakarta Sans" w:cs="Plus Jakarta Sans" w:eastAsia="Plus Jakarta Sans" w:hAnsi="Plus Jakarta Sans"/>
          <w:b/>
          <w:bCs/>
          <w:color w:val="08080A"/>
          <w:sz w:val="40"/>
          <w:szCs w:val="40"/>
        </w:rPr>
        <w:t xml:space="preserve">Typography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Plus Jakarta Sans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carries every headline, price and UI label. </w:t>
      </w: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Inter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carries body copy. A system monospace carries eyebrows and metadata (uppercase, +0.13em letter-spacing). All fonts are open (OFL) and free for commercial use.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Display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Jakarta 700, tracking −0.025em, 32px and up.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Heading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Jakarta 600, tracking −0.02em, 22–31px.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UI / card titles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Jakarta 600, tracking −0.01em, below 22px.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Body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Inter 400–500; Muted (#A8A8A8) on dark, nothing lighter than 400.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Arabic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IBM Plex Sans Arabic inside the same stacks; Latin words, including “Hala”, keep the Latin face.</w:t>
      </w:r>
    </w:p>
    <w:p>
      <w:pPr>
        <w:spacing w:after="16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Sentence case everywhere except mono eyebrows. Statement headlines end with a full stop. When brand fonts are unavailable, fall back to system sans — never a serif or rounded display face.</w:t>
      </w:r>
    </w:p>
    <w:p>
      <w:pPr>
        <w:pStyle w:val="Heading1"/>
        <w:spacing w:after="200" w:before="520"/>
      </w:pPr>
      <w:r>
        <w:rPr>
          <w:rFonts w:ascii="Consolas" w:cs="Consolas" w:eastAsia="Consolas" w:hAnsi="Consolas"/>
          <w:color w:val="6E7BF2"/>
          <w:sz w:val="22"/>
          <w:szCs w:val="22"/>
        </w:rPr>
        <w:t xml:space="preserve">05  </w:t>
      </w:r>
      <w:r>
        <w:rPr>
          <w:rFonts w:ascii="Plus Jakarta Sans" w:cs="Plus Jakarta Sans" w:eastAsia="Plus Jakarta Sans" w:hAnsi="Plus Jakarta Sans"/>
          <w:b/>
          <w:bCs/>
          <w:color w:val="08080A"/>
          <w:sz w:val="40"/>
          <w:szCs w:val="40"/>
        </w:rPr>
        <w:t xml:space="preserve">Voice &amp; tone</w:t>
      </w:r>
    </w:p>
    <w:p>
      <w:pPr>
        <w:spacing w:after="16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Hala sounds like a sharp, calm colleague explaining something over the counter — not a SaaS landing page. British, direct, specific. If a sentence could appear in any AI company’s deck, it doesn’t belong here.</w:t>
      </w:r>
    </w:p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Principles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Scenes, not claims. 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Start where the reader is standing: “Friday, 19:42. Everyone’s mid-service.”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Numbers do the talking. 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First ring. 60 seconds. 24 hours. Live in 48 hours. Never “revolutionary”, “seamless”, “game-changing”.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Second person, their world. 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“Your hours, your services, your prices, your policies.”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An employee, not a bot — but never a secret. 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Write about Hala like a capable colleague, and always disclose that customers are talking to an AI. Warm, never deceptive.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Short sentences with rhythm. 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“1 employee. 6 channels. Every hour of the day.” Fragments are fine. Exclamation marks are not.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Honest to a fault. 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No invented stats, no fake testimonials, no unconfirmed integrations. Proof stays empty until a real customer will be named.</w:t>
      </w:r>
    </w:p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German</w:t>
      </w:r>
    </w:p>
    <w:p>
      <w:pPr>
        <w:spacing w:after="16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German copy is a rewrite, not a translation. Register is Sie throughout, without exception. Where English uses “it”, German names Hala as the subject (“Hala antwortet …”). Times are 24-hour (14:15), thousands use a dot (1.200), prices in euros. Everything German gets a native speaker’s pass before publishing.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A05A00"/>
          <w:sz w:val="21"/>
          <w:szCs w:val="21"/>
        </w:rPr>
        <w:t xml:space="preserve">Claims discipline: 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never claim an agent that switches language per caller (one agent, one language), an unconfirmed integration, or any customer numbers that don’t exist yet.</w:t>
      </w:r>
    </w:p>
    <w:p>
      <w:pPr>
        <w:pStyle w:val="Heading1"/>
        <w:spacing w:after="200" w:before="520"/>
      </w:pPr>
      <w:r>
        <w:rPr>
          <w:rFonts w:ascii="Consolas" w:cs="Consolas" w:eastAsia="Consolas" w:hAnsi="Consolas"/>
          <w:color w:val="6E7BF2"/>
          <w:sz w:val="22"/>
          <w:szCs w:val="22"/>
        </w:rPr>
        <w:t xml:space="preserve">06  </w:t>
      </w:r>
      <w:r>
        <w:rPr>
          <w:rFonts w:ascii="Plus Jakarta Sans" w:cs="Plus Jakarta Sans" w:eastAsia="Plus Jakarta Sans" w:hAnsi="Plus Jakarta Sans"/>
          <w:b/>
          <w:bCs/>
          <w:color w:val="08080A"/>
          <w:sz w:val="40"/>
          <w:szCs w:val="40"/>
        </w:rPr>
        <w:t xml:space="preserve">Social media</w:t>
      </w:r>
    </w:p>
    <w:p>
      <w:pPr>
        <w:spacing w:after="16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The strongest thing Hala can post is the product doing its job: a conversation, a booked outcome, a green light. Content recreates the site’s rhythm — dark canvas, one idea per card, one accent word, the URL in the footer.</w:t>
      </w:r>
    </w:p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Content pillars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Scenes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a moment from the owner’s day where a call would have been missed, and wasn’t. One industry at a time. (Chat cards.)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How it works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one capability per post: missed-call text-back, one memory across channels, warm handover, live in 48 hours. (Feature cards.)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Straight answers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the pre-demo questions answered honestly: “Will it sound like a robot?” “Is this replacing my staff?” (Headline cards.)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The three bad answers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answer it yourself / voicemail / answering service. (Carousel.)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b/>
          <w:bCs/>
          <w:color w:val="222226"/>
          <w:sz w:val="21"/>
          <w:szCs w:val="21"/>
        </w:rPr>
        <w:t xml:space="preserve">Proof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— reserved for real, named customers with real numbers; becomes the lead pillar the moment one exists. (Stat cards.)</w:t>
      </w:r>
    </w:p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Formats per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4460"/>
      </w:tblGrid>
      <w:tr>
        <w:tc>
          <w:tcPr>
            <w:tcW w:type="dxa" w:w="18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aps/>
                <w:color w:val="5A5A5E"/>
                <w:sz w:val="17"/>
                <w:szCs w:val="17"/>
              </w:rPr>
              <w:t xml:space="preserve">Platform</w:t>
            </w:r>
          </w:p>
        </w:tc>
        <w:tc>
          <w:tcPr>
            <w:tcW w:type="dxa" w:w="31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aps/>
                <w:color w:val="5A5A5E"/>
                <w:sz w:val="17"/>
                <w:szCs w:val="17"/>
              </w:rPr>
              <w:t xml:space="preserve">Sizes</w:t>
            </w:r>
          </w:p>
        </w:tc>
        <w:tc>
          <w:tcPr>
            <w:tcW w:type="dxa" w:w="44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aps/>
                <w:color w:val="5A5A5E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Instagram</w:t>
            </w:r>
          </w:p>
        </w:tc>
        <w:tc>
          <w:tcPr>
            <w:tcW w:type="dxa" w:w="31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1080×1080 feed · 1080×1920 story/reel</w:t>
            </w:r>
          </w:p>
        </w:tc>
        <w:tc>
          <w:tcPr>
            <w:tcW w:type="dxa" w:w="44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Scenes and chat cards lead. 3–5 concrete hashtags. Link in bio to the demo.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LinkedIn</w:t>
            </w:r>
          </w:p>
        </w:tc>
        <w:tc>
          <w:tcPr>
            <w:tcW w:type="dxa" w:w="31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1200×627 post image · banner 1584×396</w:t>
            </w:r>
          </w:p>
        </w:tc>
        <w:tc>
          <w:tcPr>
            <w:tcW w:type="dxa" w:w="44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Longer captions work; lead with the scene, end with the demo line. 0–3 hashtags.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Facebook</w:t>
            </w:r>
          </w:p>
        </w:tc>
        <w:tc>
          <w:tcPr>
            <w:tcW w:type="dxa" w:w="31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1080×1080 posts · cover 1640×624</w:t>
            </w:r>
          </w:p>
        </w:tc>
        <w:tc>
          <w:tcPr>
            <w:tcW w:type="dxa" w:w="44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Where local owners are. Same posts as IG; captions can run longer. No hashtags.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22226"/>
                <w:sz w:val="21"/>
                <w:szCs w:val="21"/>
              </w:rPr>
              <w:t xml:space="preserve">TikTok / YouTube</w:t>
            </w:r>
          </w:p>
        </w:tc>
        <w:tc>
          <w:tcPr>
            <w:tcW w:type="dxa" w:w="310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1080×1920 vertical · YT art 2560×1440</w:t>
            </w:r>
          </w:p>
        </w:tc>
        <w:tc>
          <w:tcPr>
            <w:tcW w:type="dxa" w:w="4460"/>
            <w:tcBorders>
              <w:top w:val="single" w:color="DDDDDD" w:sz="2"/>
              <w:left w:val="none"/>
              <w:bottom w:val="single" w:color="DDDDDD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222226"/>
                <w:sz w:val="19"/>
                <w:szCs w:val="19"/>
              </w:rPr>
              <w:t xml:space="preserve">Real call recordings (with consent) are the format. Keep YT art content in the 1546×423 safe area.</w:t>
            </w:r>
          </w:p>
        </w:tc>
      </w:tr>
    </w:tbl>
    <w:p>
      <w:pPr>
        <w:pStyle w:val="Heading2"/>
        <w:spacing w:after="140" w:before="340"/>
      </w:pPr>
      <w:r>
        <w:rPr>
          <w:rFonts w:ascii="Plus Jakarta Sans" w:cs="Plus Jakarta Sans" w:eastAsia="Plus Jakarta Sans" w:hAnsi="Plus Jakarta Sans"/>
          <w:b/>
          <w:bCs/>
          <w:color w:val="08080A"/>
          <w:sz w:val="27"/>
          <w:szCs w:val="27"/>
        </w:rPr>
        <w:t xml:space="preserve">Template rules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Every card carries the mark + wordmark top-left and hala.khaashub.com in the footer, separated by a hairline.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One indigo word per headline; in German the accent moves to wherever the emphasis naturally falls.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Chat cards show real product behaviour only — guest in grey on the left, Hala in indigo wash on the right, outcome card with the green check underneath.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The “Answering now” live badge is reserved for content showing the product live.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The oversized ghost ring sits at ~5% white opacity, cropped by a corner — never fully visible, never in colour.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Inter" w:cs="Inter" w:eastAsia="Inter" w:hAnsi="Inter"/>
          <w:color w:val="222226"/>
          <w:sz w:val="21"/>
          <w:szCs w:val="21"/>
        </w:rPr>
        <w:t xml:space="preserve">Photography, when it arrives: real businesses mid-service in low warm light. No stock handshakes, no headsets, no robots — ever.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A05A00"/>
          <w:sz w:val="21"/>
          <w:szCs w:val="21"/>
        </w:rPr>
        <w:t xml:space="preserve">Compliance: 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if the Hala account replies with AI assistance, say so — the EU AI Act requires customers to know they’re talking to an AI, and the brand treats that as a feature (“most callers never ask”), not small print.</w:t>
      </w:r>
    </w:p>
    <w:p>
      <w:pPr>
        <w:pStyle w:val="Heading1"/>
        <w:spacing w:after="200" w:before="520"/>
      </w:pPr>
      <w:r>
        <w:rPr>
          <w:rFonts w:ascii="Consolas" w:cs="Consolas" w:eastAsia="Consolas" w:hAnsi="Consolas"/>
          <w:color w:val="6E7BF2"/>
          <w:sz w:val="22"/>
          <w:szCs w:val="22"/>
        </w:rPr>
        <w:t xml:space="preserve">07  </w:t>
      </w:r>
      <w:r>
        <w:rPr>
          <w:rFonts w:ascii="Plus Jakarta Sans" w:cs="Plus Jakarta Sans" w:eastAsia="Plus Jakarta Sans" w:hAnsi="Plus Jakarta Sans"/>
          <w:b/>
          <w:bCs/>
          <w:color w:val="08080A"/>
          <w:sz w:val="40"/>
          <w:szCs w:val="40"/>
        </w:rPr>
        <w:t xml:space="preserve">Asset pack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logo/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 Mark SVGs (colour, small cut, mono ×2) · PNGs 32–512px · lockups · avatars 1024px dark/light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templates/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 Feed cards 1080×1080 (headline, stat, chat, feature) · stories 1080×1920 · LinkedIn 1200×627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banners/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 LinkedIn 1584×396 · Facebook cover 1640×624 · YouTube 2560×1440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copy/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 sample-posts.md (EN + DE) · profile-kit.md (bios per platform)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guide/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 Designed guidelines (HTML + PDF) and this editable copy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render/</w:t>
      </w:r>
      <w:r>
        <w:rPr>
          <w:rFonts w:ascii="Inter" w:cs="Inter" w:eastAsia="Inter" w:hAnsi="Inter"/>
          <w:color w:val="222226"/>
          <w:sz w:val="21"/>
          <w:szCs w:val="21"/>
        </w:rPr>
        <w:t xml:space="preserve">  Editable HTML template sources + render.js (Node + Playwright) to regenerate every PNG</w:t>
      </w:r>
    </w:p>
    <w:p>
      <w:pPr>
        <w:spacing w:after="160"/>
      </w:pPr>
      <w:r>
        <w:rPr>
          <w:rFonts w:ascii="Inter" w:cs="Inter" w:eastAsia="Inter" w:hAnsi="Inter"/>
          <w:color w:val="5A5A5E"/>
          <w:sz w:val="19"/>
          <w:szCs w:val="19"/>
        </w:rPr>
        <w:t xml:space="preserve">Questions about the brand: info@khaashub.com</w:t>
      </w:r>
    </w:p>
    <w:sectPr>
      <w:pgSz w:w="11906" w:h="16838" w:orient="portrait"/>
      <w:pgMar w:top="1250" w:right="1250" w:bottom="125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222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2026-08-09T19:24:11.252Z</dcterms:created>
  <dcterms:modified xsi:type="dcterms:W3CDTF">2026-08-09T19:24:11.258Z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