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BF3F7" w14:textId="77777777" w:rsidR="00FD7ECF" w:rsidRPr="001A4B1F" w:rsidRDefault="00FD7ECF" w:rsidP="00FD7ECF">
      <w:pPr>
        <w:ind w:firstLine="720"/>
        <w:rPr>
          <w:rFonts w:ascii="Helvetica" w:hAnsi="Helvetica" w:cs="Arial"/>
          <w:color w:val="000000"/>
        </w:rPr>
      </w:pPr>
    </w:p>
    <w:p w14:paraId="666B3A39" w14:textId="77777777" w:rsidR="00FD7ECF" w:rsidRPr="001A4B1F" w:rsidRDefault="00FD7ECF" w:rsidP="00FD7ECF">
      <w:pPr>
        <w:ind w:firstLine="720"/>
        <w:rPr>
          <w:rFonts w:ascii="Helvetica" w:hAnsi="Helvetica" w:cs="Arial"/>
          <w:color w:val="000000"/>
        </w:rPr>
      </w:pPr>
      <w:r w:rsidRPr="001A4B1F">
        <w:rPr>
          <w:rFonts w:ascii="Helvetica" w:hAnsi="Helvetica" w:cs="Arial"/>
          <w:color w:val="000000"/>
        </w:rPr>
        <w:t>R. Kirsten Tyler</w:t>
      </w:r>
    </w:p>
    <w:p w14:paraId="3AA58156" w14:textId="77777777" w:rsidR="00FD7ECF" w:rsidRPr="001A4B1F" w:rsidRDefault="00FD7ECF" w:rsidP="00FD7ECF">
      <w:pPr>
        <w:ind w:firstLine="720"/>
        <w:rPr>
          <w:rFonts w:ascii="Helvetica" w:hAnsi="Helvetica" w:cs="Arial"/>
          <w:color w:val="000000"/>
        </w:rPr>
      </w:pPr>
    </w:p>
    <w:p w14:paraId="7A5F97E8" w14:textId="4CA6920A" w:rsidR="00FD7ECF" w:rsidRPr="001A4B1F" w:rsidRDefault="00FD7ECF" w:rsidP="00FD7ECF">
      <w:pPr>
        <w:ind w:firstLine="720"/>
        <w:rPr>
          <w:rFonts w:ascii="Helvetica" w:hAnsi="Helvetica" w:cs="Times New Roman"/>
        </w:rPr>
      </w:pPr>
      <w:r w:rsidRPr="001A4B1F">
        <w:rPr>
          <w:rFonts w:ascii="Helvetica" w:hAnsi="Helvetica" w:cs="Arial"/>
          <w:color w:val="000000"/>
        </w:rPr>
        <w:t>Since June 2013, millions of sea stars in at least 20</w:t>
      </w:r>
      <w:r w:rsidR="00E114DC">
        <w:rPr>
          <w:rFonts w:ascii="Helvetica" w:hAnsi="Helvetica" w:cs="Arial"/>
          <w:color w:val="000000"/>
        </w:rPr>
        <w:t xml:space="preserve"> different species (</w:t>
      </w:r>
      <w:proofErr w:type="spellStart"/>
      <w:r w:rsidR="00E114DC">
        <w:rPr>
          <w:rFonts w:ascii="Helvetica" w:hAnsi="Helvetica" w:cs="Arial"/>
          <w:color w:val="000000"/>
        </w:rPr>
        <w:t>Asteroidea</w:t>
      </w:r>
      <w:proofErr w:type="spellEnd"/>
      <w:r w:rsidR="00E114DC">
        <w:rPr>
          <w:rFonts w:ascii="Helvetica" w:hAnsi="Helvetica" w:cs="Arial"/>
          <w:color w:val="000000"/>
        </w:rPr>
        <w:t>) from Alaska to Mexico</w:t>
      </w:r>
      <w:r w:rsidRPr="001A4B1F">
        <w:rPr>
          <w:rFonts w:ascii="Helvetica" w:hAnsi="Helvetica" w:cs="Arial"/>
          <w:color w:val="000000"/>
        </w:rPr>
        <w:t xml:space="preserve"> have perished due to a suite of symptoms called sea star wasting disease (SSWD), which involves loss of turgor pressure, </w:t>
      </w:r>
      <w:r w:rsidR="003828E4" w:rsidRPr="001A4B1F">
        <w:rPr>
          <w:rFonts w:ascii="Helvetica" w:hAnsi="Helvetica" w:cs="Arial"/>
          <w:color w:val="000000"/>
        </w:rPr>
        <w:t xml:space="preserve">formation of </w:t>
      </w:r>
      <w:r w:rsidRPr="001A4B1F">
        <w:rPr>
          <w:rFonts w:ascii="Helvetica" w:hAnsi="Helvetica" w:cs="Arial"/>
          <w:color w:val="000000"/>
        </w:rPr>
        <w:t xml:space="preserve">lesions, loss of limbs and ultimately, death </w:t>
      </w:r>
      <w:r w:rsidR="001C46E7">
        <w:rPr>
          <w:rFonts w:ascii="Helvetica" w:hAnsi="Helvetica" w:cs="Arial"/>
          <w:color w:val="000000"/>
        </w:rPr>
        <w:fldChar w:fldCharType="begin" w:fldLock="1"/>
      </w:r>
      <w:r w:rsidR="001C46E7">
        <w:rPr>
          <w:rFonts w:ascii="Helvetica" w:hAnsi="Helvetica" w:cs="Arial"/>
          <w:color w:val="000000"/>
        </w:rPr>
        <w:instrText>ADDIN CSL_CITATION { "citationItems" : [ { "id" : "ITEM-1", "itemData" : { "DOI" : "10.1073/pnas.1416625111", "ISSN" : "1091-6490", "PMID" : "25404293", "abstract" : "Populations of at least 20 asteroid species on the Northeast Pacific Coast have recently experienced an extensive outbreak of sea-star (asteroid) wasting disease (SSWD). The disease leads to behavioral changes, lesions, loss of turgor, limb autotomy, and death characterized by rapid degradation (\"melting\"). Here, we present evidence from experimental challenge studies and field observations that link the mass mortalities to a densovirus (Parvoviridae). Virus-sized material (i.e., &lt;0.2 \u03bcm) from symptomatic tissues that was inoculated into asymptomatic asteroids consistently resulted in SSWD signs whereas animals receiving heat-killed (i.e., control) virus-sized inoculum remained asymptomatic. Viral metagenomic investigations revealed the sea star-associated densovirus (SSaDV) as the most likely candidate virus associated with tissues from symptomatic asteroids. Quantification of SSaDV during transmission trials indicated that progression of SSWD paralleled increased SSaDV load. In field surveys, SSaDV loads were more abundant in symptomatic than in asymptomatic asteroids. SSaDV could be detected in plankton, sediments and in nonasteroid echinoderms, providing a possible mechanism for viral spread. SSaDV was detected in museum specimens of asteroids from 1942, suggesting that it has been present on the North American Pacific Coast for at least 72 y. SSaDV is therefore the most promising candidate disease agent responsible for asteroid mass mortality.", "author" : [ { "dropping-particle" : "", "family" : "Hewson", "given" : "Ian", "non-dropping-particle" : "", "parse-names" : false, "suffix" : "" }, { "dropping-particle" : "", "family" : "Button", "given" : "Jason B", "non-dropping-particle" : "", "parse-names" : false, "suffix" : "" }, { "dropping-particle" : "", "family" : "Gudenkauf", "given" : "Brent M", "non-dropping-particle" : "", "parse-names" : false, "suffix" : "" }, { "dropping-particle" : "", "family" : "Miner", "given" : "Benjamin", "non-dropping-particle" : "", "parse-names" : false, "suffix" : "" }, { "dropping-particle" : "", "family" : "Newton", "given" : "Alisa L", "non-dropping-particle" : "", "parse-names" : false, "suffix" : "" }, { "dropping-particle" : "", "family" : "Gaydos", "given" : "Joseph K", "non-dropping-particle" : "", "parse-names" : false, "suffix" : "" }, { "dropping-particle" : "", "family" : "Wynne", "given" : "Janna", "non-dropping-particle" : "", "parse-names" : false, "suffix" : "" }, { "dropping-particle" : "", "family" : "Groves", "given" : "Cathy L", "non-dropping-particle" : "", "parse-names" : false, "suffix" : "" }, { "dropping-particle" : "", "family" : "Hendler", "given" : "Gordon", "non-dropping-particle" : "", "parse-names" : false, "suffix" : "" }, { "dropping-particle" : "", "family" : "Murray", "given" : "Michael", "non-dropping-particle" : "", "parse-names" : false, "suffix" : "" }, { "dropping-particle" : "", "family" : "Fradkin", "given" : "Steven", "non-dropping-particle" : "", "parse-names" : false, "suffix" : "" }, { "dropping-particle" : "", "family" : "Breitbart", "given" : "Mya", "non-dropping-particle" : "", "parse-names" : false, "suffix" : "" }, { "dropping-particle" : "", "family" : "Fahsbender", "given" : "Elizabeth", "non-dropping-particle" : "", "parse-names" : false, "suffix" : "" }, { "dropping-particle" : "", "family" : "Lafferty", "given" : "Kevin D", "non-dropping-particle" : "", "parse-names" : false, "suffix" : "" }, { "dropping-particle" : "", "family" : "Kilpatrick", "given" : "A Marm", "non-dropping-particle" : "", "parse-names" : false, "suffix" : "" }, { "dropping-particle" : "", "family" : "Miner", "given" : "C Melissa", "non-dropping-particle" : "", "parse-names" : false, "suffix" : "" }, { "dropping-particle" : "", "family" : "Raimondi", "given" : "Peter", "non-dropping-particle" : "", "parse-names" : false, "suffix" : "" }, { "dropping-particle" : "", "family" : "Lahner", "given" : "Lesanna", "non-dropping-particle" : "", "parse-names" : false, "suffix" : "" }, { "dropping-particle" : "", "family" : "Friedman", "given" : "Carolyn S", "non-dropping-particle" : "", "parse-names" : false, "suffix" : "" }, { "dropping-particle" : "", "family" : "Daniels", "given" : "Stephen", "non-dropping-particle" : "", "parse-names" : false, "suffix" : "" }, { "dropping-particle" : "", "family" : "Haulena", "given" : "Martin", "non-dropping-particle" : "", "parse-names" : false, "suffix" : "" }, { "dropping-particle" : "", "family" : "Marliave", "given" : "Jeffrey", "non-dropping-particle" : "", "parse-names" : false, "suffix" : "" }, { "dropping-particle" : "", "family" : "Burge", "given" : "Colleen A", "non-dropping-particle" : "", "parse-names" : false, "suffix" : "" }, { "dropping-particle" : "", "family" : "Eisenlord", "given" : "Morgan E", "non-dropping-particle" : "", "parse-names" : false, "suffix" : "" }, { "dropping-particle" : "", "family" : "Harvell", "given" : "C Drew", "non-dropping-particle" : "", "parse-names" : false, "suffix" : "" } ], "container-title" : "Proceedings of the National Academy of Sciences of the United States of America", "id" : "ITEM-1", "issue" : "48", "issued" : { "date-parts" : [ [ "2014", "12", "2" ] ] }, "page" : "17278-83", "publisher" : "National Academy of Sciences", "title" : "Densovirus associated with sea-star wasting disease and mass mortality.", "type" : "article-journal", "volume" : "111" }, "uris" : [ "http://www.mendeley.com/documents/?uuid=62e93af8-fe72-314a-bd2b-d425bff06e03" ] } ], "mendeley" : { "formattedCitation" : "(Hewson et al., 2014)", "plainTextFormattedCitation" : "(Hewson et al., 2014)", "previouslyFormattedCitation" : "(Hewson et al., 2014)" }, "properties" : { "noteIndex" : 0 }, "schema" : "https://github.com/citation-style-language/schema/raw/master/csl-citation.json" }</w:instrText>
      </w:r>
      <w:r w:rsidR="001C46E7">
        <w:rPr>
          <w:rFonts w:ascii="Helvetica" w:hAnsi="Helvetica" w:cs="Arial"/>
          <w:color w:val="000000"/>
        </w:rPr>
        <w:fldChar w:fldCharType="separate"/>
      </w:r>
      <w:r w:rsidR="001C46E7" w:rsidRPr="001C46E7">
        <w:rPr>
          <w:rFonts w:ascii="Helvetica" w:hAnsi="Helvetica" w:cs="Arial"/>
          <w:noProof/>
          <w:color w:val="000000"/>
        </w:rPr>
        <w:t>(Hewson et al., 2014)</w:t>
      </w:r>
      <w:r w:rsidR="001C46E7">
        <w:rPr>
          <w:rFonts w:ascii="Helvetica" w:hAnsi="Helvetica" w:cs="Arial"/>
          <w:color w:val="000000"/>
        </w:rPr>
        <w:fldChar w:fldCharType="end"/>
      </w:r>
      <w:r w:rsidR="001C46E7">
        <w:rPr>
          <w:rFonts w:ascii="Helvetica" w:hAnsi="Helvetica" w:cs="Arial"/>
          <w:color w:val="000000"/>
        </w:rPr>
        <w:t xml:space="preserve">. </w:t>
      </w:r>
      <w:r w:rsidRPr="001A4B1F">
        <w:rPr>
          <w:rFonts w:ascii="Helvetica" w:hAnsi="Helvetica" w:cs="Arial"/>
          <w:color w:val="000000"/>
        </w:rPr>
        <w:t>As keystone species in many of marine ecosystems, mass mortality of sea stars could cause dramatic alteration and biodiversity loss of benthic communities</w:t>
      </w:r>
      <w:r w:rsidR="001C46E7">
        <w:rPr>
          <w:rFonts w:ascii="Helvetica" w:hAnsi="Helvetica" w:cs="Arial"/>
          <w:color w:val="000000"/>
        </w:rPr>
        <w:t xml:space="preserve"> </w:t>
      </w:r>
      <w:r w:rsidR="001C46E7">
        <w:rPr>
          <w:rFonts w:ascii="Helvetica" w:hAnsi="Helvetica" w:cs="Arial"/>
          <w:color w:val="000000"/>
        </w:rPr>
        <w:fldChar w:fldCharType="begin" w:fldLock="1"/>
      </w:r>
      <w:r w:rsidR="00DC269A">
        <w:rPr>
          <w:rFonts w:ascii="Helvetica" w:hAnsi="Helvetica" w:cs="Arial"/>
          <w:color w:val="000000"/>
        </w:rPr>
        <w:instrText>ADDIN CSL_CITATION { "citationItems" : [ { "id" : "ITEM-1", "itemData" : { "DOI" : "10.1086/282400", "ISBN" : "00030147", "ISSN" : "0003-0147", "PMID" : "19425949", "abstract" : "It is suggested that local animal species diversity is related to the number of predators in the system and their efficiency in preventing single species from monopolizing some important, limiting, requisite. In the marine rocky intertidal this requisite usually is space. Where predators capable of preventing monopolies are missing, or are experimentally removed, the systems become less diverse. On a local scale, no relationship between latitude (10\u26ac to 49\u26ac N.) and diversity was found. On a geographic scale, an increased stability of annual production may lead to an increased capacity for systems to support higher-level carnivores. Hence tropical, or other, ecosystems are more diverse, and are characterized by disproportionately more carnivores.", "author" : [ { "dropping-particle" : "", "family" : "Paine", "given" : "Robert T", "non-dropping-particle" : "", "parse-names" : false, "suffix" : "" } ], "container-title" : "The American Naturalist", "id" : "ITEM-1", "issue" : "910", "issued" : { "date-parts" : [ [ "1966" ] ] }, "page" : "65-75", "title" : "Food Web Complexity and Species Diversity", "type" : "article-journal", "volume" : "100" }, "uris" : [ "http://www.mendeley.com/documents/?uuid=e01d3150-3456-3420-8509-2d72e9971182" ] }, { "id" : "ITEM-2", "itemData" : { "DOI" : "10.1126/science.226.4672.335", "ISBN" : "00368075", "ISSN" : "0036-8075", "PMID" : "17749884", "abstract" : "Populations of the ecologically important sea urchin Diadema antillarum suffered severe mass mortalities throughout the Caribbean. This mortality was first observed at Panama in January 1983; by January 1984 it had spread to the rest of the Caribbean and to Bermuda. The sequence of mortality events in most areas is consistent with the hypothesis that the causative agent was dispersed by major surface currents over large distances. However, some of the late die-offs in the southeastern Caribbean do not fit this pattern. Several lines of indirect evidence suggest that the phenomenon is due to a water-borne pathogen. If so, this is the most extensive epidemic documented for a marine invertebrate.", "author" : [ { "dropping-particle" : "", "family" : "Lessios", "given" : "H a", "non-dropping-particle" : "", "parse-names" : false, "suffix" : "" }, { "dropping-particle" : "", "family" : "Robertson", "given" : "D R", "non-dropping-particle" : "", "parse-names" : false, "suffix" : "" }, { "dropping-particle" : "", "family" : "Cubit", "given" : "J D", "non-dropping-particle" : "", "parse-names" : false, "suffix" : "" } ], "container-title" : "Science (New York, N.Y.)", "id" : "ITEM-2", "issue" : "4672", "issued" : { "date-parts" : [ [ "1984" ] ] }, "page" : "335-337", "title" : "Spread of diadema mass mortality through the Caribbean.", "type" : "article-journal", "volume" : "226" }, "uris" : [ "http://www.mendeley.com/documents/?uuid=1df154b1-91a6-49e3-be3b-d1f6fc891674" ] } ], "mendeley" : { "formattedCitation" : "(Lessios, Robertson, &amp; Cubit, 1984; Paine, 1966)", "plainTextFormattedCitation" : "(Lessios, Robertson, &amp; Cubit, 1984; Paine, 1966)", "previouslyFormattedCitation" : "(Lessios, Robertson, &amp; Cubit, 1984; Paine, 1966)" }, "properties" : { "noteIndex" : 0 }, "schema" : "https://github.com/citation-style-language/schema/raw/master/csl-citation.json" }</w:instrText>
      </w:r>
      <w:r w:rsidR="001C46E7">
        <w:rPr>
          <w:rFonts w:ascii="Helvetica" w:hAnsi="Helvetica" w:cs="Arial"/>
          <w:color w:val="000000"/>
        </w:rPr>
        <w:fldChar w:fldCharType="separate"/>
      </w:r>
      <w:r w:rsidR="00DC269A" w:rsidRPr="00DC269A">
        <w:rPr>
          <w:rFonts w:ascii="Helvetica" w:hAnsi="Helvetica" w:cs="Arial"/>
          <w:noProof/>
          <w:color w:val="000000"/>
        </w:rPr>
        <w:t>(Lessios, Robertson, &amp; Cubit, 1984; Paine, 1966)</w:t>
      </w:r>
      <w:r w:rsidR="001C46E7">
        <w:rPr>
          <w:rFonts w:ascii="Helvetica" w:hAnsi="Helvetica" w:cs="Arial"/>
          <w:color w:val="000000"/>
        </w:rPr>
        <w:fldChar w:fldCharType="end"/>
      </w:r>
      <w:r w:rsidRPr="001A4B1F">
        <w:rPr>
          <w:rFonts w:ascii="Helvetica" w:hAnsi="Helvetica" w:cs="Arial"/>
          <w:color w:val="000000"/>
        </w:rPr>
        <w:t>. To avoid trophic cascades that would upset the balance of marine ecosystems and potentially cause irreversible damage, it is imperative to obtain information on both the pathology of SSWD and on th</w:t>
      </w:r>
      <w:r w:rsidR="009C1515">
        <w:rPr>
          <w:rFonts w:ascii="Helvetica" w:hAnsi="Helvetica" w:cs="Arial"/>
          <w:color w:val="000000"/>
        </w:rPr>
        <w:t xml:space="preserve">e biology of the </w:t>
      </w:r>
      <w:proofErr w:type="spellStart"/>
      <w:r w:rsidR="009C1515">
        <w:rPr>
          <w:rFonts w:ascii="Helvetica" w:hAnsi="Helvetica" w:cs="Arial"/>
          <w:color w:val="000000"/>
        </w:rPr>
        <w:t>seastars</w:t>
      </w:r>
      <w:proofErr w:type="spellEnd"/>
      <w:r w:rsidR="009C1515">
        <w:rPr>
          <w:rFonts w:ascii="Helvetica" w:hAnsi="Helvetica" w:cs="Arial"/>
          <w:color w:val="000000"/>
        </w:rPr>
        <w:t xml:space="preserve">. </w:t>
      </w:r>
      <w:proofErr w:type="spellStart"/>
      <w:r w:rsidRPr="001A4B1F">
        <w:rPr>
          <w:rFonts w:ascii="Helvetica" w:hAnsi="Helvetica" w:cs="Arial"/>
          <w:i/>
          <w:iCs/>
          <w:color w:val="000000"/>
        </w:rPr>
        <w:t>Pisaster</w:t>
      </w:r>
      <w:proofErr w:type="spellEnd"/>
      <w:r w:rsidRPr="001A4B1F">
        <w:rPr>
          <w:rFonts w:ascii="Helvetica" w:hAnsi="Helvetica" w:cs="Arial"/>
          <w:i/>
          <w:iCs/>
          <w:color w:val="000000"/>
        </w:rPr>
        <w:t xml:space="preserve"> </w:t>
      </w:r>
      <w:proofErr w:type="spellStart"/>
      <w:r w:rsidRPr="001A4B1F">
        <w:rPr>
          <w:rFonts w:ascii="Helvetica" w:hAnsi="Helvetica" w:cs="Arial"/>
          <w:i/>
          <w:iCs/>
          <w:color w:val="000000"/>
        </w:rPr>
        <w:t>ocraceus</w:t>
      </w:r>
      <w:proofErr w:type="spellEnd"/>
      <w:r w:rsidR="009C1515">
        <w:rPr>
          <w:rFonts w:ascii="Helvetica" w:hAnsi="Helvetica" w:cs="Arial"/>
          <w:color w:val="000000"/>
        </w:rPr>
        <w:t xml:space="preserve"> was the focal species in this study. As</w:t>
      </w:r>
      <w:r w:rsidRPr="001A4B1F">
        <w:rPr>
          <w:rFonts w:ascii="Helvetica" w:hAnsi="Helvetica" w:cs="Arial"/>
          <w:color w:val="000000"/>
        </w:rPr>
        <w:t xml:space="preserve"> a keystone predator involved in the regulation of mussel populations </w:t>
      </w:r>
      <w:r w:rsidR="009C1515">
        <w:rPr>
          <w:rFonts w:ascii="Helvetica" w:hAnsi="Helvetica" w:cs="Arial"/>
          <w:color w:val="000000"/>
        </w:rPr>
        <w:t>and an Asteroid species that has</w:t>
      </w:r>
      <w:r w:rsidRPr="001A4B1F">
        <w:rPr>
          <w:rFonts w:ascii="Helvetica" w:hAnsi="Helvetica" w:cs="Arial"/>
          <w:color w:val="000000"/>
        </w:rPr>
        <w:t xml:space="preserve"> exhibited severe and unprecedented population declines due to the 2013 SSWD outbreak</w:t>
      </w:r>
      <w:r w:rsidR="009C1515">
        <w:rPr>
          <w:rFonts w:ascii="Helvetica" w:hAnsi="Helvetica" w:cs="Arial"/>
          <w:color w:val="000000"/>
        </w:rPr>
        <w:t xml:space="preserve">, P. </w:t>
      </w:r>
      <w:proofErr w:type="spellStart"/>
      <w:r w:rsidR="009C1515">
        <w:rPr>
          <w:rFonts w:ascii="Helvetica" w:hAnsi="Helvetica" w:cs="Arial"/>
          <w:color w:val="000000"/>
        </w:rPr>
        <w:t>ochraceus</w:t>
      </w:r>
      <w:proofErr w:type="spellEnd"/>
      <w:r w:rsidR="009C1515">
        <w:rPr>
          <w:rFonts w:ascii="Helvetica" w:hAnsi="Helvetica" w:cs="Arial"/>
          <w:color w:val="000000"/>
        </w:rPr>
        <w:t xml:space="preserve"> is an appropriate candidate for this study</w:t>
      </w:r>
      <w:r w:rsidRPr="001A4B1F">
        <w:rPr>
          <w:rFonts w:ascii="Helvetica" w:hAnsi="Helvetica" w:cs="Arial"/>
          <w:color w:val="000000"/>
        </w:rPr>
        <w:t xml:space="preserve">. </w:t>
      </w:r>
    </w:p>
    <w:p w14:paraId="40538D0D" w14:textId="39AD4D86" w:rsidR="00FD7ECF" w:rsidRPr="001A4B1F" w:rsidRDefault="00FD7ECF" w:rsidP="00FD7ECF">
      <w:pPr>
        <w:ind w:firstLine="720"/>
        <w:rPr>
          <w:rFonts w:ascii="Helvetica" w:hAnsi="Helvetica" w:cs="Times New Roman"/>
        </w:rPr>
      </w:pPr>
      <w:r w:rsidRPr="001A4B1F">
        <w:rPr>
          <w:rFonts w:ascii="Helvetica" w:hAnsi="Helvetica" w:cs="Arial"/>
          <w:color w:val="000000"/>
        </w:rPr>
        <w:t>The cause of SSWD is still unknown</w:t>
      </w:r>
      <w:r w:rsidR="003803C2">
        <w:rPr>
          <w:rFonts w:ascii="Helvetica" w:hAnsi="Helvetica" w:cs="Arial"/>
          <w:color w:val="000000"/>
        </w:rPr>
        <w:t xml:space="preserve"> </w:t>
      </w:r>
      <w:r w:rsidR="00DC269A">
        <w:rPr>
          <w:rFonts w:ascii="Helvetica" w:hAnsi="Helvetica" w:cs="Arial"/>
          <w:color w:val="000000"/>
        </w:rPr>
        <w:fldChar w:fldCharType="begin" w:fldLock="1"/>
      </w:r>
      <w:r w:rsidR="00DC269A">
        <w:rPr>
          <w:rFonts w:ascii="Helvetica" w:hAnsi="Helvetica" w:cs="Arial"/>
          <w:color w:val="000000"/>
        </w:rPr>
        <w:instrText>ADDIN CSL_CITATION { "citationItems" : [ { "id" : "ITEM-1", "itemData" : { "DOI" : "10.1073/pnas.1416625111", "ISSN" : "1091-6490", "PMID" : "25404293", "abstract" : "Populations of at least 20 asteroid species on the Northeast Pacific Coast have recently experienced an extensive outbreak of sea-star (asteroid) wasting disease (SSWD). The disease leads to behavioral changes, lesions, loss of turgor, limb autotomy, and death characterized by rapid degradation (\"melting\"). Here, we present evidence from experimental challenge studies and field observations that link the mass mortalities to a densovirus (Parvoviridae). Virus-sized material (i.e., &lt;0.2 \u03bcm) from symptomatic tissues that was inoculated into asymptomatic asteroids consistently resulted in SSWD signs whereas animals receiving heat-killed (i.e., control) virus-sized inoculum remained asymptomatic. Viral metagenomic investigations revealed the sea star-associated densovirus (SSaDV) as the most likely candidate virus associated with tissues from symptomatic asteroids. Quantification of SSaDV during transmission trials indicated that progression of SSWD paralleled increased SSaDV load. In field surveys, SSaDV loads were more abundant in symptomatic than in asymptomatic asteroids. SSaDV could be detected in plankton, sediments and in nonasteroid echinoderms, providing a possible mechanism for viral spread. SSaDV was detected in museum specimens of asteroids from 1942, suggesting that it has been present on the North American Pacific Coast for at least 72 y. SSaDV is therefore the most promising candidate disease agent responsible for asteroid mass mortality.", "author" : [ { "dropping-particle" : "", "family" : "Hewson", "given" : "Ian", "non-dropping-particle" : "", "parse-names" : false, "suffix" : "" }, { "dropping-particle" : "", "family" : "Button", "given" : "Jason B", "non-dropping-particle" : "", "parse-names" : false, "suffix" : "" }, { "dropping-particle" : "", "family" : "Gudenkauf", "given" : "Brent M", "non-dropping-particle" : "", "parse-names" : false, "suffix" : "" }, { "dropping-particle" : "", "family" : "Miner", "given" : "Benjamin", "non-dropping-particle" : "", "parse-names" : false, "suffix" : "" }, { "dropping-particle" : "", "family" : "Newton", "given" : "Alisa L", "non-dropping-particle" : "", "parse-names" : false, "suffix" : "" }, { "dropping-particle" : "", "family" : "Gaydos", "given" : "Joseph K", "non-dropping-particle" : "", "parse-names" : false, "suffix" : "" }, { "dropping-particle" : "", "family" : "Wynne", "given" : "Janna", "non-dropping-particle" : "", "parse-names" : false, "suffix" : "" }, { "dropping-particle" : "", "family" : "Groves", "given" : "Cathy L", "non-dropping-particle" : "", "parse-names" : false, "suffix" : "" }, { "dropping-particle" : "", "family" : "Hendler", "given" : "Gordon", "non-dropping-particle" : "", "parse-names" : false, "suffix" : "" }, { "dropping-particle" : "", "family" : "Murray", "given" : "Michael", "non-dropping-particle" : "", "parse-names" : false, "suffix" : "" }, { "dropping-particle" : "", "family" : "Fradkin", "given" : "Steven", "non-dropping-particle" : "", "parse-names" : false, "suffix" : "" }, { "dropping-particle" : "", "family" : "Breitbart", "given" : "Mya", "non-dropping-particle" : "", "parse-names" : false, "suffix" : "" }, { "dropping-particle" : "", "family" : "Fahsbender", "given" : "Elizabeth", "non-dropping-particle" : "", "parse-names" : false, "suffix" : "" }, { "dropping-particle" : "", "family" : "Lafferty", "given" : "Kevin D", "non-dropping-particle" : "", "parse-names" : false, "suffix" : "" }, { "dropping-particle" : "", "family" : "Kilpatrick", "given" : "A Marm", "non-dropping-particle" : "", "parse-names" : false, "suffix" : "" }, { "dropping-particle" : "", "family" : "Miner", "given" : "C Melissa", "non-dropping-particle" : "", "parse-names" : false, "suffix" : "" }, { "dropping-particle" : "", "family" : "Raimondi", "given" : "Peter", "non-dropping-particle" : "", "parse-names" : false, "suffix" : "" }, { "dropping-particle" : "", "family" : "Lahner", "given" : "Lesanna", "non-dropping-particle" : "", "parse-names" : false, "suffix" : "" }, { "dropping-particle" : "", "family" : "Friedman", "given" : "Carolyn S", "non-dropping-particle" : "", "parse-names" : false, "suffix" : "" }, { "dropping-particle" : "", "family" : "Daniels", "given" : "Stephen", "non-dropping-particle" : "", "parse-names" : false, "suffix" : "" }, { "dropping-particle" : "", "family" : "Haulena", "given" : "Martin", "non-dropping-particle" : "", "parse-names" : false, "suffix" : "" }, { "dropping-particle" : "", "family" : "Marliave", "given" : "Jeffrey", "non-dropping-particle" : "", "parse-names" : false, "suffix" : "" }, { "dropping-particle" : "", "family" : "Burge", "given" : "Colleen A", "non-dropping-particle" : "", "parse-names" : false, "suffix" : "" }, { "dropping-particle" : "", "family" : "Eisenlord", "given" : "Morgan E", "non-dropping-particle" : "", "parse-names" : false, "suffix" : "" }, { "dropping-particle" : "", "family" : "Harvell", "given" : "C Drew", "non-dropping-particle" : "", "parse-names" : false, "suffix" : "" } ], "container-title" : "Proceedings of the National Academy of Sciences of the United States of America", "id" : "ITEM-1", "issue" : "48", "issued" : { "date-parts" : [ [ "2014", "12", "2" ] ] }, "page" : "17278-83", "publisher" : "National Academy of Sciences", "title" : "Densovirus associated with sea-star wasting disease and mass mortality.", "type" : "article-journal", "volume" : "111" }, "uris" : [ "http://www.mendeley.com/documents/?uuid=62e93af8-fe72-314a-bd2b-d425bff06e03" ] } ], "mendeley" : { "formattedCitation" : "(Hewson et al., 2014)", "plainTextFormattedCitation" : "(Hewson et al., 2014)", "previouslyFormattedCitation" : "(Hewson et al., 2014)" }, "properties" : { "noteIndex" : 0 }, "schema" : "https://github.com/citation-style-language/schema/raw/master/csl-citation.json" }</w:instrText>
      </w:r>
      <w:r w:rsidR="00DC269A">
        <w:rPr>
          <w:rFonts w:ascii="Helvetica" w:hAnsi="Helvetica" w:cs="Arial"/>
          <w:color w:val="000000"/>
        </w:rPr>
        <w:fldChar w:fldCharType="separate"/>
      </w:r>
      <w:r w:rsidR="00DC269A" w:rsidRPr="00DC269A">
        <w:rPr>
          <w:rFonts w:ascii="Helvetica" w:hAnsi="Helvetica" w:cs="Arial"/>
          <w:noProof/>
          <w:color w:val="000000"/>
        </w:rPr>
        <w:t>(Hewson et al., 2014)</w:t>
      </w:r>
      <w:r w:rsidR="00DC269A">
        <w:rPr>
          <w:rFonts w:ascii="Helvetica" w:hAnsi="Helvetica" w:cs="Arial"/>
          <w:color w:val="000000"/>
        </w:rPr>
        <w:fldChar w:fldCharType="end"/>
      </w:r>
      <w:r w:rsidRPr="001A4B1F">
        <w:rPr>
          <w:rFonts w:ascii="Helvetica" w:hAnsi="Helvetica" w:cs="Arial"/>
          <w:color w:val="000000"/>
        </w:rPr>
        <w:t xml:space="preserve">. A previous study has identified the sea star associated </w:t>
      </w:r>
      <w:proofErr w:type="spellStart"/>
      <w:r w:rsidRPr="001A4B1F">
        <w:rPr>
          <w:rFonts w:ascii="Helvetica" w:hAnsi="Helvetica" w:cs="Arial"/>
          <w:color w:val="000000"/>
        </w:rPr>
        <w:t>densovirus</w:t>
      </w:r>
      <w:proofErr w:type="spellEnd"/>
      <w:r w:rsidRPr="001A4B1F">
        <w:rPr>
          <w:rFonts w:ascii="Helvetica" w:hAnsi="Helvetica" w:cs="Arial"/>
          <w:color w:val="000000"/>
        </w:rPr>
        <w:t xml:space="preserve"> (</w:t>
      </w:r>
      <w:proofErr w:type="spellStart"/>
      <w:r w:rsidRPr="001A4B1F">
        <w:rPr>
          <w:rFonts w:ascii="Helvetica" w:hAnsi="Helvetica" w:cs="Arial"/>
          <w:color w:val="000000"/>
        </w:rPr>
        <w:t>SSaDV</w:t>
      </w:r>
      <w:proofErr w:type="spellEnd"/>
      <w:r w:rsidRPr="001A4B1F">
        <w:rPr>
          <w:rFonts w:ascii="Helvetica" w:hAnsi="Helvetica" w:cs="Arial"/>
          <w:color w:val="000000"/>
        </w:rPr>
        <w:t xml:space="preserve">) as a potential causative agent of the disease when comparing gene expression and immune response to SSWD between sick and healthy individuals (Hewson et al. 2014). However, our data show that the echinoderms displayed symptoms and became infected even in the absence of the </w:t>
      </w:r>
      <w:proofErr w:type="spellStart"/>
      <w:r w:rsidRPr="001A4B1F">
        <w:rPr>
          <w:rFonts w:ascii="Helvetica" w:hAnsi="Helvetica" w:cs="Arial"/>
          <w:color w:val="000000"/>
        </w:rPr>
        <w:t>densovirus</w:t>
      </w:r>
      <w:proofErr w:type="spellEnd"/>
      <w:r w:rsidRPr="001A4B1F">
        <w:rPr>
          <w:rFonts w:ascii="Helvetica" w:hAnsi="Helvetica" w:cs="Arial"/>
          <w:color w:val="000000"/>
        </w:rPr>
        <w:t>, indicating the possibility that another pathogen (or multiple pathogens) cause SSWD. Many environmental factors have also been sho</w:t>
      </w:r>
      <w:r w:rsidR="003E69B9" w:rsidRPr="001A4B1F">
        <w:rPr>
          <w:rFonts w:ascii="Helvetica" w:hAnsi="Helvetica" w:cs="Arial"/>
          <w:color w:val="000000"/>
        </w:rPr>
        <w:t xml:space="preserve">wn to affect </w:t>
      </w:r>
      <w:r w:rsidRPr="001A4B1F">
        <w:rPr>
          <w:rFonts w:ascii="Helvetica" w:hAnsi="Helvetica" w:cs="Arial"/>
          <w:color w:val="000000"/>
        </w:rPr>
        <w:t>the onset of the disease both directly and indirectly, rendering the task of finding its causes even more challenging. Previous sea star wasting events have been associated with warmer ocean temperatures</w:t>
      </w:r>
      <w:r w:rsidR="00DC269A">
        <w:rPr>
          <w:rFonts w:ascii="Helvetica" w:hAnsi="Helvetica" w:cs="Arial"/>
          <w:color w:val="000000"/>
        </w:rPr>
        <w:t xml:space="preserve"> </w:t>
      </w:r>
      <w:r w:rsidR="00DC269A">
        <w:rPr>
          <w:rFonts w:ascii="Helvetica" w:hAnsi="Helvetica" w:cs="Arial"/>
          <w:color w:val="000000"/>
        </w:rPr>
        <w:fldChar w:fldCharType="begin" w:fldLock="1"/>
      </w:r>
      <w:r w:rsidR="00DC269A">
        <w:rPr>
          <w:rFonts w:ascii="Helvetica" w:hAnsi="Helvetica" w:cs="Arial"/>
          <w:color w:val="000000"/>
        </w:rPr>
        <w:instrText>ADDIN CSL_CITATION { "citationItems" : [ { "id" : "ITEM-1", "itemData" : { "DOI" : "10.3354/dao02125", "ISBN" : "0177-5103", "ISSN" : "01775103", "PMID" : "20066959", "abstract" : "This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"author" : [ { "dropping-particle" : "", "family" : "Bates", "given" : "Amanda E.", "non-dropping-particle" : "", "parse-names" : false, "suffix" : "" }, { "dropping-particle" : "", "family" : "Hilton", "given" : "Brett J.", "non-dropping-particle" : "", "parse-names" : false, "suffix" : "" }, { "dropping-particle" : "", "family" : "Harley", "given" : "Christopher D G", "non-dropping-particle" : "", "parse-names" : false, "suffix" : "" } ], "container-title" : "Diseases of Aquatic Organisms", "id" : "ITEM-1", "issue" : "3", "issued" : { "date-parts" : [ [ "2009" ] ] }, "page" : "245-251", "title" : "Effects of temperature, season and locality on wasting disease in the keystone predatory sea star Pisaster ochraceus", "type" : "article-journal", "volume" : "86" }, "uris" : [ "http://www.mendeley.com/documents/?uuid=dd8f10b5-3e9d-3d20-bf6c-e734e5c25cdd" ] }, { "id" : "ITEM-2", "itemData" : { "DOI" : "10.1017/S1755267209000633", "abstract" : "In recent years there has been an increasing interest in the effects of water temperature changes on the structure of marine populations. During the 1970s the burrowing starfish Astropecten jonston was present in large numbers along the south-east of Sardinia (Italy). When investigations were resumed in 1999 fewer active individuals could be found than in the 1970s, with anecdotal evidence suggesting an increase in sightings of dying animals on the sand surface. These observations, combined with a hitherto unknown susceptibility to handling stress, caused us to investigate the effect of water temperature, salinity and individual size on A. jonstoni survival. Results indicated that significantly fewer starfish were affected by a wasting disease when kept at 128C compared with individuals maintained at 208C and 258C regardless of salinity (28 or 35 ppt) and that smaller starfish were less affected. Microbiological analysis revealed that, amongst other species, bacteria of the genus Vibrio, which have been associated with diseases of stressed marine invertebrates, were present in both field and laboratory animals.", "author" : [ { "dropping-particle" : "", "family" : "Staehli", "given" : "Annette", "non-dropping-particle" : "", "parse-names" : false, "suffix" : "" }, { "dropping-particle" : "", "family" : "Schaerer", "given" : "Rolf", "non-dropping-particle" : "", "parse-names" : false, "suffix" : "" }, { "dropping-particle" : "", "family" : "Hoelzle", "given" : "Katharina", "non-dropping-particle" : "", "parse-names" : false, "suffix" : "" }, { "dropping-particle" : "", "family" : "Ribi", "given" : "Georg", "non-dropping-particle" : "", "parse-names" : false, "suffix" : "" } ], "id" : "ITEM-2", "issued" : { "date-parts" : [ [ "2017" ] ] }, "title" : "Temperature induced disease in the starfish  Astropecten jonstoni", "type" : "article-journal" }, "uris" : [ "http://www.mendeley.com/documents/?uuid=80702643-6688-3425-b001-97477edfe24f" ] } ], "mendeley" : { "formattedCitation" : "(Bates, Hilton, &amp; Harley, 2009; Staehli, Schaerer, Hoelzle, &amp; Ribi, 2017)", "plainTextFormattedCitation" : "(Bates, Hilton, &amp; Harley, 2009; Staehli, Schaerer, Hoelzle, &amp; Ribi, 2017)", "previouslyFormattedCitation" : "(Bates, Hilton, &amp; Harley, 2009; Staehli, Schaerer, Hoelzle, &amp; Ribi, 2017)" }, "properties" : { "noteIndex" : 0 }, "schema" : "https://github.com/citation-style-language/schema/raw/master/csl-citation.json" }</w:instrText>
      </w:r>
      <w:r w:rsidR="00DC269A">
        <w:rPr>
          <w:rFonts w:ascii="Helvetica" w:hAnsi="Helvetica" w:cs="Arial"/>
          <w:color w:val="000000"/>
        </w:rPr>
        <w:fldChar w:fldCharType="separate"/>
      </w:r>
      <w:r w:rsidR="00DC269A" w:rsidRPr="00DC269A">
        <w:rPr>
          <w:rFonts w:ascii="Helvetica" w:hAnsi="Helvetica" w:cs="Arial"/>
          <w:noProof/>
          <w:color w:val="000000"/>
        </w:rPr>
        <w:t>(Bates, Hilton, &amp; Harley, 2009; Staehli, Schaerer, Hoelzle, &amp; Ribi, 2017)</w:t>
      </w:r>
      <w:r w:rsidR="00DC269A">
        <w:rPr>
          <w:rFonts w:ascii="Helvetica" w:hAnsi="Helvetica" w:cs="Arial"/>
          <w:color w:val="000000"/>
        </w:rPr>
        <w:fldChar w:fldCharType="end"/>
      </w:r>
      <w:r w:rsidRPr="001A4B1F">
        <w:rPr>
          <w:rFonts w:ascii="Helvetica" w:hAnsi="Helvetica" w:cs="Arial"/>
          <w:color w:val="000000"/>
        </w:rPr>
        <w:t xml:space="preserve"> and </w:t>
      </w:r>
      <w:r w:rsidR="00DC269A">
        <w:rPr>
          <w:rFonts w:ascii="Helvetica" w:hAnsi="Helvetica" w:cs="Arial"/>
          <w:color w:val="000000"/>
        </w:rPr>
        <w:fldChar w:fldCharType="begin" w:fldLock="1"/>
      </w:r>
      <w:r w:rsidR="00DC269A">
        <w:rPr>
          <w:rFonts w:ascii="Helvetica" w:hAnsi="Helvetica" w:cs="Arial"/>
          <w:color w:val="000000"/>
        </w:rPr>
        <w:instrText>ADDIN CSL_CITATION { "citationItems" : [ { "id" : "ITEM-1", "itemData" : { "DOI" : "10.1098/rstb.2015.0212", "ISBN" : "1471-2970 (Electronic)\\r0962-8436 (Linking)", "ISSN" : "14712970 09628436", "PMID" : "26880844", "abstract" : "Over 20 species of asteroids were devastated by a sea star wasting disease (SSWD) epizootic, linked to a densovirus, from Mexico to Alaska in 2013 and 2014. For Pisaster ochraceus from the San Juan Islands, South Puget Sound and 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 degrees C treatment compared to the lower temperature treatments. While larger ochre stars developed disease signs sooner than juveniles, diseased juveniles died more quickly than diseased adults. Unusual 2-3 degrees C warm temperature anomalies were coincident with the summer 2014 mortalities. We suggest these warm waters could have increased the disease progression and mortality rates of SSWD in Washington State.", "author" : [ { "dropping-particle" : "", "family" : "Eisenlord", "given" : "Morgan E.", "non-dropping-particle" : "", "parse-names" : false, "suffix" : "" }, { "dropping-particle" : "", "family" : "Groner", "given" : "Maya L.", "non-dropping-particle" : "", "parse-names" : false, "suffix" : "" }, { "dropping-particle" : "", "family" : "Yoshioka", "given" : "Reyn M.", "non-dropping-particle" : "", "parse-names" : false, "suffix" : "" }, { "dropping-particle" : "", "family" : "Elliott", "given" : "Joel", "non-dropping-particle" : "", "parse-names" : false, "suffix" : "" }, { "dropping-particle" : "", "family" : "Maynard", "given" : "Jeffrey", "non-dropping-particle" : "", "parse-names" : false, "suffix" : "" }, { "dropping-particle" : "", "family" : "Fradkin", "given" : "Steven", "non-dropping-particle" : "", "parse-names" : false, "suffix" : "" }, { "dropping-particle" : "", "family" : "Turner", "given" : "Margaret", "non-dropping-particle" : "", "parse-names" : false, "suffix" : "" }, { "dropping-particle" : "", "family" : "Pyne", "given" : "Katie", "non-dropping-particle" : "", "parse-names" : false, "suffix" : "" }, { "dropping-particle" : "", "family" : "Rivlin", "given" : "Natalie", "non-dropping-particle" : "", "parse-names" : false, "suffix" : "" }, { "dropping-particle" : "", "family" : "Hooidonk", "given" : "Ruben", "non-dropping-particle" : "van", "parse-names" : false, "suffix" : "" }, { "dropping-particle" : "", "family" : "Harvell", "given" : "C. Drew", "non-dropping-particle" : "", "parse-names" : false, "suffix" : "" } ], "container-title" : "Philos Trans R Soc Lond B Biol Sci", "id" : "ITEM-1", "issue" : "1689", "issued" : { "date-parts" : [ [ "2016" ] ] }, "title" : "Ochre star mortality during the 2014 wasting disease epizootic: role of population size structure and temperature", "type" : "article-journal", "volume" : "371" }, "uris" : [ "http://www.mendeley.com/documents/?uuid=2812c799-2ff1-3238-904d-d152acf5512b" ] } ], "mendeley" : { "formattedCitation" : "(Eisenlord et al., 2016)", "plainTextFormattedCitation" : "(Eisenlord et al., 2016)", "previouslyFormattedCitation" : "(Eisenlord et al., 2016)" }, "properties" : { "noteIndex" : 0 }, "schema" : "https://github.com/citation-style-language/schema/raw/master/csl-citation.json" }</w:instrText>
      </w:r>
      <w:r w:rsidR="00DC269A">
        <w:rPr>
          <w:rFonts w:ascii="Helvetica" w:hAnsi="Helvetica" w:cs="Arial"/>
          <w:color w:val="000000"/>
        </w:rPr>
        <w:fldChar w:fldCharType="separate"/>
      </w:r>
      <w:r w:rsidR="00DC269A" w:rsidRPr="00DC269A">
        <w:rPr>
          <w:rFonts w:ascii="Helvetica" w:hAnsi="Helvetica" w:cs="Arial"/>
          <w:noProof/>
          <w:color w:val="000000"/>
        </w:rPr>
        <w:t>(Eisenlord et al., 2016)</w:t>
      </w:r>
      <w:r w:rsidR="00DC269A">
        <w:rPr>
          <w:rFonts w:ascii="Helvetica" w:hAnsi="Helvetica" w:cs="Arial"/>
          <w:color w:val="000000"/>
        </w:rPr>
        <w:fldChar w:fldCharType="end"/>
      </w:r>
      <w:r w:rsidRPr="001A4B1F">
        <w:rPr>
          <w:rFonts w:ascii="Helvetica" w:hAnsi="Helvetica" w:cs="Arial"/>
          <w:color w:val="000000"/>
        </w:rPr>
        <w:t xml:space="preserve"> exhibited in their lab experiment a faster progression of SSWD in ochre stars subjected to warmer temperatures. Recently, work was published on the effect of warmer temperatures facilitating the increase in abundance of dangerous bacteria such as </w:t>
      </w:r>
      <w:r w:rsidRPr="001A4B1F">
        <w:rPr>
          <w:rFonts w:ascii="Helvetica" w:hAnsi="Helvetica" w:cs="Arial"/>
          <w:i/>
          <w:iCs/>
          <w:color w:val="000000"/>
        </w:rPr>
        <w:t>Vibrio</w:t>
      </w:r>
      <w:r w:rsidRPr="001A4B1F">
        <w:rPr>
          <w:rFonts w:ascii="Helvetica" w:hAnsi="Helvetica" w:cs="Arial"/>
          <w:color w:val="000000"/>
        </w:rPr>
        <w:t xml:space="preserve"> spp. that is another potential causative agent</w:t>
      </w:r>
      <w:r w:rsidR="00DC269A">
        <w:rPr>
          <w:rFonts w:ascii="Helvetica" w:hAnsi="Helvetica" w:cs="Arial"/>
          <w:color w:val="000000"/>
        </w:rPr>
        <w:t xml:space="preserve"> </w:t>
      </w:r>
      <w:r w:rsidR="00DC269A">
        <w:rPr>
          <w:rFonts w:ascii="Helvetica" w:hAnsi="Helvetica" w:cs="Arial"/>
          <w:color w:val="000000"/>
        </w:rPr>
        <w:fldChar w:fldCharType="begin" w:fldLock="1"/>
      </w:r>
      <w:r w:rsidR="00AA1878">
        <w:rPr>
          <w:rFonts w:ascii="Helvetica" w:hAnsi="Helvetica" w:cs="Arial"/>
          <w:color w:val="000000"/>
        </w:rPr>
        <w:instrText>ADDIN CSL_CITATION { "citationItems" : [ { "id" : "ITEM-1", "itemData" : { "DOI" : "10.1073/pnas.1609157113", "ISSN" : "0027-8424", "PMID" : "27503882", "abstract" : "Climate change is having a dramatic impact on marine animal and plant communities but little is known of its influence on marine prokaryotes, which represent the largest living biomass in the world oceans and play a fundamental role in maintaining life on our planet. In this study, for the first time to our knowledge, experimental evidence is provided on the link between multidecadal climatic variability in the temperate North Atlantic and the presence and spread of an important group of marine prokaryotes, the vibrios, which are responsible for several infections in both humans and animals. Using archived formalin-preserved plankton samples collected by the Continuous Plankton Recorder survey over the past half-century (1958\u20132011), we assessed retrospectively the relative abundance of vibrios, including human pathogens, in nine areas of the North Atlantic and North Sea and showed correlation with climate and plankton changes. Generalized additive models revealed that long-term increase in Vibrio abundance is promoted by increasing sea surface temperatures (up to \u223c1.5 \u00b0C over the past 54 y) and is positively correlated with the Northern Hemisphere Temperature (NHT) and Atlantic Multidecadal Oscillation (AMO) climatic indices (P &lt; 0.001). Such increases are associated with an unprecedented occurrence of environmentally acquired Vibrio infections in the human population of Northern Europe and the Atlantic coast of the United States in recent years.", "author" : [ { "dropping-particle" : "", "family" : "Vezzulli", "given" : "Luigi", "non-dropping-particle" : "", "parse-names" : false, "suffix" : "" }, { "dropping-particle" : "", "family" : "Grande", "given" : "Chiara", "non-dropping-particle" : "", "parse-names" : false, "suffix" : "" }, { "dropping-particle" : "", "family" : "Reid", "given" : "Philip C.", "non-dropping-particle" : "", "parse-names" : false, "suffix" : "" }, { "dropping-particle" : "", "family" : "H\u00e9laou\u00ebt", "given" : "Pierre", "non-dropping-particle" : "", "parse-names" : false, "suffix" : "" }, { "dropping-particle" : "", "family" : "Edwards", "given" : "Martin", "non-dropping-particle" : "", "parse-names" : false, "suffix" : "" }, { "dropping-particle" : "", "family" : "H\u00f6fle", "given" : "Manfred G.", "non-dropping-particle" : "", "parse-names" : false, "suffix" : "" }, { "dropping-particle" : "", "family" : "Brettar", "given" : "Ingrid", "non-dropping-particle" : "", "parse-names" : false, "suffix" : "" }, { "dropping-particle" : "", "family" : "Colwell", "given" : "Rita R.", "non-dropping-particle" : "", "parse-names" : false, "suffix" : "" }, { "dropping-particle" : "", "family" : "Pruzzo", "given" : "Carla", "non-dropping-particle" : "", "parse-names" : false, "suffix" : "" } ], "container-title" : "Proceedings of the National Academy of Sciences", "id" : "ITEM-1", "issued" : { "date-parts" : [ [ "2016" ] ] }, "page" : "201609157", "title" : "Climate influence on Vibrio and associated human diseases during the past half-century in the coastal North Atlantic", "type" : "article-journal" }, "uris" : [ "http://www.mendeley.com/documents/?uuid=02d0f9b5-79f1-3169-abc2-c282da558ee2" ] } ], "mendeley" : { "formattedCitation" : "(Vezzulli et al., 2016)", "plainTextFormattedCitation" : "(Vezzulli et al., 2016)", "previouslyFormattedCitation" : "(Vezzulli et al., 2016)" }, "properties" : { "noteIndex" : 0 }, "schema" : "https://github.com/citation-style-language/schema/raw/master/csl-citation.json" }</w:instrText>
      </w:r>
      <w:r w:rsidR="00DC269A">
        <w:rPr>
          <w:rFonts w:ascii="Helvetica" w:hAnsi="Helvetica" w:cs="Arial"/>
          <w:color w:val="000000"/>
        </w:rPr>
        <w:fldChar w:fldCharType="separate"/>
      </w:r>
      <w:r w:rsidR="00DC269A" w:rsidRPr="00DC269A">
        <w:rPr>
          <w:rFonts w:ascii="Helvetica" w:hAnsi="Helvetica" w:cs="Arial"/>
          <w:noProof/>
          <w:color w:val="000000"/>
        </w:rPr>
        <w:t>(Vezzulli et al., 2016)</w:t>
      </w:r>
      <w:r w:rsidR="00DC269A">
        <w:rPr>
          <w:rFonts w:ascii="Helvetica" w:hAnsi="Helvetica" w:cs="Arial"/>
          <w:color w:val="000000"/>
        </w:rPr>
        <w:fldChar w:fldCharType="end"/>
      </w:r>
      <w:r w:rsidRPr="001A4B1F">
        <w:rPr>
          <w:rFonts w:ascii="Helvetica" w:hAnsi="Helvetica" w:cs="Arial"/>
          <w:color w:val="000000"/>
        </w:rPr>
        <w:t xml:space="preserve">. These studies indicate that we have very little knowledge as to what pathogen or pathogens cause(s) SSWD, how those respective pathogen(s) work, and how environmental factors including temperature and microbiota can facilitate its spread through altering the resistance or susceptibility of sea stars to the disease, which can consequently yield to disease outbreaks. </w:t>
      </w:r>
    </w:p>
    <w:p w14:paraId="6057099B" w14:textId="77777777" w:rsidR="00FD7ECF" w:rsidRPr="001A4B1F" w:rsidRDefault="0081260C" w:rsidP="00FD7ECF">
      <w:pPr>
        <w:ind w:firstLine="720"/>
        <w:rPr>
          <w:rFonts w:ascii="Helvetica" w:hAnsi="Helvetica" w:cs="Times New Roman"/>
        </w:rPr>
      </w:pPr>
      <w:r w:rsidRPr="001A4B1F">
        <w:rPr>
          <w:rFonts w:ascii="Helvetica" w:hAnsi="Helvetica" w:cs="Arial"/>
          <w:color w:val="000000"/>
        </w:rPr>
        <w:t>The purpose of this study was</w:t>
      </w:r>
      <w:r w:rsidR="00FD7ECF" w:rsidRPr="001A4B1F">
        <w:rPr>
          <w:rFonts w:ascii="Helvetica" w:hAnsi="Helvetica" w:cs="Arial"/>
          <w:color w:val="000000"/>
        </w:rPr>
        <w:t xml:space="preserve"> to determine whether 1) there is </w:t>
      </w:r>
      <w:r w:rsidR="00D27058">
        <w:rPr>
          <w:rFonts w:ascii="Helvetica" w:hAnsi="Helvetica" w:cs="Arial"/>
          <w:color w:val="000000"/>
        </w:rPr>
        <w:t xml:space="preserve">a </w:t>
      </w:r>
      <w:r w:rsidR="00FD7ECF" w:rsidRPr="001A4B1F">
        <w:rPr>
          <w:rFonts w:ascii="Helvetica" w:hAnsi="Helvetica" w:cs="Arial"/>
          <w:color w:val="000000"/>
        </w:rPr>
        <w:t xml:space="preserve">genetic basis for resistance to SSWD in sea stars and/or 2) if the microbiomes of the sea stars are responsible for the disease’s progression. Based on previous findings by Hewson </w:t>
      </w:r>
      <w:r w:rsidR="00FD7ECF" w:rsidRPr="001A4B1F">
        <w:rPr>
          <w:rFonts w:ascii="Helvetica" w:hAnsi="Helvetica" w:cs="Arial"/>
          <w:i/>
          <w:iCs/>
          <w:color w:val="000000"/>
        </w:rPr>
        <w:t xml:space="preserve">et al. </w:t>
      </w:r>
      <w:r w:rsidR="00FD7ECF" w:rsidRPr="001A4B1F">
        <w:rPr>
          <w:rFonts w:ascii="Helvetica" w:hAnsi="Helvetica" w:cs="Arial"/>
          <w:color w:val="000000"/>
        </w:rPr>
        <w:t xml:space="preserve">(2014), we hypothesize that sea stars free of the disease are potentially doing so through genetic means such as having more suitable alleles of immune response genes. If our hypothesis is true, we predict to see a difference in allele frequencies between healthy and sick individuals at certain distinct loci. </w:t>
      </w:r>
    </w:p>
    <w:p w14:paraId="06187001" w14:textId="700FAD80" w:rsidR="00FD7ECF" w:rsidRPr="001A4B1F" w:rsidRDefault="00CE62BF" w:rsidP="009D3048">
      <w:pPr>
        <w:ind w:firstLine="720"/>
        <w:rPr>
          <w:rFonts w:ascii="Helvetica" w:hAnsi="Helvetica" w:cs="Arial"/>
          <w:color w:val="000000"/>
        </w:rPr>
      </w:pPr>
      <w:r w:rsidRPr="001A4B1F">
        <w:rPr>
          <w:rFonts w:ascii="Helvetica" w:hAnsi="Helvetica" w:cs="Arial"/>
          <w:color w:val="000000"/>
        </w:rPr>
        <w:t>T</w:t>
      </w:r>
      <w:r w:rsidR="00FD7ECF" w:rsidRPr="001A4B1F">
        <w:rPr>
          <w:rFonts w:ascii="Helvetica" w:hAnsi="Helvetica" w:cs="Arial"/>
          <w:color w:val="000000"/>
        </w:rPr>
        <w:t xml:space="preserve">he second part of our study </w:t>
      </w:r>
      <w:r w:rsidR="00390922" w:rsidRPr="001A4B1F">
        <w:rPr>
          <w:rFonts w:ascii="Helvetica" w:hAnsi="Helvetica" w:cs="Arial"/>
          <w:color w:val="000000"/>
        </w:rPr>
        <w:t>compared</w:t>
      </w:r>
      <w:r w:rsidR="00FD7ECF" w:rsidRPr="001A4B1F">
        <w:rPr>
          <w:rFonts w:ascii="Helvetica" w:hAnsi="Helvetica" w:cs="Arial"/>
          <w:color w:val="000000"/>
        </w:rPr>
        <w:t xml:space="preserve"> the microbiomes of healthy and sick individuals</w:t>
      </w:r>
      <w:r w:rsidRPr="001A4B1F">
        <w:rPr>
          <w:rFonts w:ascii="Helvetica" w:hAnsi="Helvetica" w:cs="Arial"/>
          <w:color w:val="000000"/>
        </w:rPr>
        <w:t xml:space="preserve"> over time</w:t>
      </w:r>
      <w:r w:rsidR="00FD7ECF" w:rsidRPr="001A4B1F">
        <w:rPr>
          <w:rFonts w:ascii="Helvetica" w:hAnsi="Helvetica" w:cs="Arial"/>
          <w:color w:val="000000"/>
        </w:rPr>
        <w:t xml:space="preserve"> to investigate the role</w:t>
      </w:r>
      <w:r w:rsidRPr="001A4B1F">
        <w:rPr>
          <w:rFonts w:ascii="Helvetica" w:hAnsi="Helvetica" w:cs="Arial"/>
          <w:color w:val="000000"/>
        </w:rPr>
        <w:t>s, if any, that microbiota play</w:t>
      </w:r>
      <w:r w:rsidR="00FD7ECF" w:rsidRPr="001A4B1F">
        <w:rPr>
          <w:rFonts w:ascii="Helvetica" w:hAnsi="Helvetica" w:cs="Arial"/>
          <w:color w:val="000000"/>
        </w:rPr>
        <w:t xml:space="preserve"> in susceptibility </w:t>
      </w:r>
      <w:r w:rsidR="00FD7ECF" w:rsidRPr="001A4B1F">
        <w:rPr>
          <w:rFonts w:ascii="Helvetica" w:hAnsi="Helvetica" w:cs="Arial"/>
          <w:color w:val="000000"/>
        </w:rPr>
        <w:lastRenderedPageBreak/>
        <w:t xml:space="preserve">or resistance of sea stars to the pathogen. </w:t>
      </w:r>
      <w:r w:rsidRPr="001A4B1F">
        <w:rPr>
          <w:rFonts w:ascii="Helvetica" w:hAnsi="Helvetica" w:cs="Arial"/>
          <w:color w:val="000000"/>
        </w:rPr>
        <w:t>We hypothesize that</w:t>
      </w:r>
      <w:r w:rsidR="00FD7ECF" w:rsidRPr="001A4B1F">
        <w:rPr>
          <w:rFonts w:ascii="Helvetica" w:hAnsi="Helvetica" w:cs="Arial"/>
          <w:color w:val="000000"/>
        </w:rPr>
        <w:t xml:space="preserve"> an individual’s microbiome does play a role in the onset and progression of SSWD</w:t>
      </w:r>
      <w:r w:rsidR="009D3048" w:rsidRPr="001A4B1F">
        <w:rPr>
          <w:rFonts w:ascii="Helvetica" w:hAnsi="Helvetica" w:cs="Arial"/>
          <w:color w:val="000000"/>
        </w:rPr>
        <w:t xml:space="preserve">. </w:t>
      </w:r>
      <w:r w:rsidR="00FD7ECF" w:rsidRPr="001A4B1F">
        <w:rPr>
          <w:rFonts w:ascii="Helvetica" w:hAnsi="Helvetica" w:cs="Arial"/>
          <w:color w:val="000000"/>
        </w:rPr>
        <w:t xml:space="preserve">If our hypothesis is true, we predict to see a significant difference in microbiome composition between healthy and sick individuals </w:t>
      </w:r>
      <w:r w:rsidR="009D3048" w:rsidRPr="001A4B1F">
        <w:rPr>
          <w:rFonts w:ascii="Helvetica" w:hAnsi="Helvetica" w:cs="Arial"/>
          <w:color w:val="000000"/>
        </w:rPr>
        <w:t>and</w:t>
      </w:r>
      <w:r w:rsidR="00FD7ECF" w:rsidRPr="001A4B1F">
        <w:rPr>
          <w:rFonts w:ascii="Helvetica" w:hAnsi="Helvetica" w:cs="Arial"/>
          <w:color w:val="000000"/>
        </w:rPr>
        <w:t xml:space="preserve"> a significantly more stable microbiome over time in healt</w:t>
      </w:r>
      <w:r w:rsidR="009D3048" w:rsidRPr="001A4B1F">
        <w:rPr>
          <w:rFonts w:ascii="Helvetica" w:hAnsi="Helvetica" w:cs="Arial"/>
          <w:color w:val="000000"/>
        </w:rPr>
        <w:t>hy individuals than in sick individuals</w:t>
      </w:r>
      <w:r w:rsidR="00FD7ECF" w:rsidRPr="001A4B1F">
        <w:rPr>
          <w:rFonts w:ascii="Helvetica" w:hAnsi="Helvetica" w:cs="Arial"/>
          <w:color w:val="000000"/>
        </w:rPr>
        <w:t xml:space="preserve">. To distinguish whether the change in microbiome composition is causing/exacerbating the disease or if it is simply a side-effect of the disease, we </w:t>
      </w:r>
      <w:r w:rsidR="004107E0">
        <w:rPr>
          <w:rFonts w:ascii="Helvetica" w:hAnsi="Helvetica" w:cs="Arial"/>
          <w:color w:val="000000"/>
        </w:rPr>
        <w:t>examined</w:t>
      </w:r>
      <w:r w:rsidR="00FD7ECF" w:rsidRPr="001A4B1F">
        <w:rPr>
          <w:rFonts w:ascii="Helvetica" w:hAnsi="Helvetica" w:cs="Arial"/>
          <w:color w:val="000000"/>
        </w:rPr>
        <w:t xml:space="preserve"> individuals that were initially healthy but then turned sick </w:t>
      </w:r>
      <w:proofErr w:type="gramStart"/>
      <w:r w:rsidR="00FD7ECF" w:rsidRPr="001A4B1F">
        <w:rPr>
          <w:rFonts w:ascii="Helvetica" w:hAnsi="Helvetica" w:cs="Arial"/>
          <w:color w:val="000000"/>
        </w:rPr>
        <w:t>during the course of</w:t>
      </w:r>
      <w:proofErr w:type="gramEnd"/>
      <w:r w:rsidR="00FD7ECF" w:rsidRPr="001A4B1F">
        <w:rPr>
          <w:rFonts w:ascii="Helvetica" w:hAnsi="Helvetica" w:cs="Arial"/>
          <w:color w:val="000000"/>
        </w:rPr>
        <w:t xml:space="preserve"> our study; if a drastic change in microbiome precedes individuals showing any symptom of the disease, there is a possibility that the change in microbiome is the cause of the disease or at least partly responsible for the disease affecting the sea star.     </w:t>
      </w:r>
    </w:p>
    <w:p w14:paraId="728D9108" w14:textId="77777777" w:rsidR="001A4B1F" w:rsidRPr="001A4B1F" w:rsidRDefault="001A4B1F" w:rsidP="00FD7ECF">
      <w:pPr>
        <w:spacing w:after="240"/>
        <w:rPr>
          <w:rFonts w:ascii="Helvetica" w:eastAsia="Times New Roman" w:hAnsi="Helvetica" w:cs="Times New Roman"/>
        </w:rPr>
      </w:pPr>
    </w:p>
    <w:p w14:paraId="50188F3B" w14:textId="6C9C849E" w:rsidR="006C2887" w:rsidRPr="001A4B1F" w:rsidRDefault="006C2887" w:rsidP="00FD7ECF">
      <w:pPr>
        <w:spacing w:after="240"/>
        <w:rPr>
          <w:rFonts w:ascii="Helvetica" w:eastAsia="Times New Roman" w:hAnsi="Helvetica" w:cs="Times New Roman"/>
        </w:rPr>
      </w:pPr>
      <w:r>
        <w:rPr>
          <w:rFonts w:ascii="Helvetica" w:eastAsia="Times New Roman" w:hAnsi="Helvetica" w:cs="Times New Roman"/>
        </w:rPr>
        <w:t xml:space="preserve">Methods </w:t>
      </w:r>
    </w:p>
    <w:p w14:paraId="4B9892EA" w14:textId="27E163D8" w:rsidR="006C2887" w:rsidRDefault="001A4B1F" w:rsidP="00360A54">
      <w:pPr>
        <w:spacing w:after="240"/>
        <w:ind w:firstLine="720"/>
        <w:rPr>
          <w:rFonts w:ascii="Helvetica" w:hAnsi="Helvetica" w:cs="Arial"/>
          <w:color w:val="000000"/>
        </w:rPr>
      </w:pPr>
      <w:r>
        <w:rPr>
          <w:rFonts w:ascii="Helvetica" w:eastAsia="Times New Roman" w:hAnsi="Helvetica" w:cs="Times New Roman"/>
        </w:rPr>
        <w:t>To</w:t>
      </w:r>
      <w:r w:rsidR="00D27058" w:rsidRPr="001A4B1F">
        <w:rPr>
          <w:rFonts w:ascii="Helvetica" w:hAnsi="Helvetica" w:cs="Arial"/>
          <w:color w:val="000000"/>
        </w:rPr>
        <w:t xml:space="preserve"> determine whether </w:t>
      </w:r>
      <w:r w:rsidR="00D27058">
        <w:rPr>
          <w:rFonts w:ascii="Helvetica" w:hAnsi="Helvetica" w:cs="Arial"/>
          <w:color w:val="000000"/>
        </w:rPr>
        <w:t>there</w:t>
      </w:r>
      <w:r w:rsidR="00D27058" w:rsidRPr="001A4B1F">
        <w:rPr>
          <w:rFonts w:ascii="Helvetica" w:hAnsi="Helvetica" w:cs="Arial"/>
          <w:color w:val="000000"/>
        </w:rPr>
        <w:t xml:space="preserve"> is </w:t>
      </w:r>
      <w:r w:rsidR="00D27058">
        <w:rPr>
          <w:rFonts w:ascii="Helvetica" w:hAnsi="Helvetica" w:cs="Arial"/>
          <w:color w:val="000000"/>
        </w:rPr>
        <w:t xml:space="preserve">a </w:t>
      </w:r>
      <w:r w:rsidR="00D27058" w:rsidRPr="001A4B1F">
        <w:rPr>
          <w:rFonts w:ascii="Helvetica" w:hAnsi="Helvetica" w:cs="Arial"/>
          <w:color w:val="000000"/>
        </w:rPr>
        <w:t>genetic basis</w:t>
      </w:r>
      <w:r w:rsidR="00E864A0">
        <w:rPr>
          <w:rFonts w:ascii="Helvetica" w:hAnsi="Helvetica" w:cs="Arial"/>
          <w:color w:val="000000"/>
        </w:rPr>
        <w:t xml:space="preserve"> or microbiome association</w:t>
      </w:r>
      <w:r w:rsidR="00D27058" w:rsidRPr="001A4B1F">
        <w:rPr>
          <w:rFonts w:ascii="Helvetica" w:hAnsi="Helvetica" w:cs="Arial"/>
          <w:color w:val="000000"/>
        </w:rPr>
        <w:t xml:space="preserve"> for res</w:t>
      </w:r>
      <w:r w:rsidR="00D27058">
        <w:rPr>
          <w:rFonts w:ascii="Helvetica" w:hAnsi="Helvetica" w:cs="Arial"/>
          <w:color w:val="000000"/>
        </w:rPr>
        <w:t xml:space="preserve">istance to SSWD in </w:t>
      </w:r>
      <w:r w:rsidR="00E96565">
        <w:rPr>
          <w:rFonts w:ascii="Helvetica" w:hAnsi="Helvetica" w:cs="Arial"/>
          <w:i/>
          <w:iCs/>
          <w:color w:val="000000"/>
        </w:rPr>
        <w:t>P.</w:t>
      </w:r>
      <w:r w:rsidR="00E96565" w:rsidRPr="001A4B1F">
        <w:rPr>
          <w:rFonts w:ascii="Helvetica" w:hAnsi="Helvetica" w:cs="Arial"/>
          <w:i/>
          <w:iCs/>
          <w:color w:val="000000"/>
        </w:rPr>
        <w:t xml:space="preserve"> </w:t>
      </w:r>
      <w:proofErr w:type="spellStart"/>
      <w:r w:rsidR="00E96565" w:rsidRPr="001A4B1F">
        <w:rPr>
          <w:rFonts w:ascii="Helvetica" w:hAnsi="Helvetica" w:cs="Arial"/>
          <w:i/>
          <w:iCs/>
          <w:color w:val="000000"/>
        </w:rPr>
        <w:t>ocraceus</w:t>
      </w:r>
      <w:proofErr w:type="spellEnd"/>
      <w:r w:rsidR="00D27058">
        <w:rPr>
          <w:rFonts w:ascii="Helvetica" w:hAnsi="Helvetica" w:cs="Arial"/>
          <w:color w:val="000000"/>
        </w:rPr>
        <w:t xml:space="preserve">, we </w:t>
      </w:r>
      <w:r w:rsidR="00CA75DA">
        <w:rPr>
          <w:rFonts w:ascii="Helvetica" w:hAnsi="Helvetica" w:cs="Arial"/>
          <w:color w:val="000000"/>
        </w:rPr>
        <w:t xml:space="preserve">collected 24 </w:t>
      </w:r>
      <w:r w:rsidR="006C2887">
        <w:rPr>
          <w:rFonts w:ascii="Helvetica" w:hAnsi="Helvetica" w:cs="Arial"/>
          <w:color w:val="000000"/>
        </w:rPr>
        <w:t xml:space="preserve">healthy </w:t>
      </w:r>
      <w:r w:rsidR="00CA75DA">
        <w:rPr>
          <w:rFonts w:ascii="Helvetica" w:hAnsi="Helvetica" w:cs="Arial"/>
          <w:color w:val="000000"/>
        </w:rPr>
        <w:t xml:space="preserve">individuals from </w:t>
      </w:r>
      <w:r w:rsidR="00E96565">
        <w:rPr>
          <w:rFonts w:ascii="Helvetica" w:hAnsi="Helvetica" w:cs="Arial"/>
          <w:color w:val="000000"/>
        </w:rPr>
        <w:t>intertidal and subtidal locations</w:t>
      </w:r>
      <w:r w:rsidR="00CA75DA">
        <w:rPr>
          <w:rFonts w:ascii="Helvetica" w:hAnsi="Helvetica" w:cs="Arial"/>
          <w:color w:val="000000"/>
        </w:rPr>
        <w:t xml:space="preserve"> of Monterey, CA</w:t>
      </w:r>
      <w:r w:rsidR="00E96565">
        <w:rPr>
          <w:rFonts w:ascii="Helvetica" w:hAnsi="Helvetica" w:cs="Arial"/>
          <w:color w:val="000000"/>
        </w:rPr>
        <w:t xml:space="preserve">. </w:t>
      </w:r>
      <w:r w:rsidR="00AB48E3">
        <w:rPr>
          <w:rFonts w:ascii="Helvetica" w:hAnsi="Helvetica" w:cs="Arial"/>
          <w:color w:val="000000"/>
        </w:rPr>
        <w:t>They were shipped to our lab and placed in individual tanks, remaining separate. They were reared for 15 days</w:t>
      </w:r>
      <w:r w:rsidR="00E864A0">
        <w:rPr>
          <w:rFonts w:ascii="Helvetica" w:hAnsi="Helvetica" w:cs="Arial"/>
          <w:color w:val="000000"/>
        </w:rPr>
        <w:t>, while every 3 days, epidermal tissue was biopsied and health status and symptoms were recorded</w:t>
      </w:r>
      <w:r w:rsidR="00651E6A">
        <w:rPr>
          <w:rFonts w:ascii="Helvetica" w:hAnsi="Helvetica" w:cs="Arial"/>
          <w:color w:val="000000"/>
        </w:rPr>
        <w:t xml:space="preserve"> (Days 3, 6, 9, 12, and 15)</w:t>
      </w:r>
      <w:r w:rsidR="00E864A0">
        <w:rPr>
          <w:rFonts w:ascii="Helvetica" w:hAnsi="Helvetica" w:cs="Arial"/>
          <w:color w:val="000000"/>
        </w:rPr>
        <w:t xml:space="preserve">. </w:t>
      </w:r>
      <w:r w:rsidR="00360A54">
        <w:rPr>
          <w:rFonts w:ascii="Helvetica" w:hAnsi="Helvetica" w:cs="Arial"/>
          <w:color w:val="000000"/>
        </w:rPr>
        <w:t xml:space="preserve">“H” designated healthy and “S” designated sick. </w:t>
      </w:r>
      <w:r w:rsidR="00574A8C">
        <w:rPr>
          <w:rFonts w:ascii="Helvetica" w:hAnsi="Helvetica" w:cs="Arial"/>
          <w:color w:val="000000"/>
        </w:rPr>
        <w:t xml:space="preserve">Individuals that stayed </w:t>
      </w:r>
      <w:r w:rsidR="00360A54">
        <w:rPr>
          <w:rFonts w:ascii="Helvetica" w:hAnsi="Helvetica" w:cs="Arial"/>
          <w:color w:val="000000"/>
        </w:rPr>
        <w:t xml:space="preserve">healthy throughout the study were labeled as </w:t>
      </w:r>
      <w:r w:rsidR="00D5670D">
        <w:rPr>
          <w:rFonts w:ascii="Helvetica" w:hAnsi="Helvetica" w:cs="Arial"/>
          <w:color w:val="000000"/>
        </w:rPr>
        <w:t>“</w:t>
      </w:r>
      <w:r w:rsidR="00360A54">
        <w:rPr>
          <w:rFonts w:ascii="Helvetica" w:hAnsi="Helvetica" w:cs="Arial"/>
          <w:color w:val="000000"/>
        </w:rPr>
        <w:t>HH</w:t>
      </w:r>
      <w:r w:rsidR="00D5670D">
        <w:rPr>
          <w:rFonts w:ascii="Helvetica" w:hAnsi="Helvetica" w:cs="Arial"/>
          <w:color w:val="000000"/>
        </w:rPr>
        <w:t>”</w:t>
      </w:r>
      <w:r w:rsidR="00360A54">
        <w:rPr>
          <w:rFonts w:ascii="Helvetica" w:hAnsi="Helvetica" w:cs="Arial"/>
          <w:color w:val="000000"/>
        </w:rPr>
        <w:t xml:space="preserve">. Individuals that </w:t>
      </w:r>
      <w:r w:rsidR="00651E6A">
        <w:rPr>
          <w:rFonts w:ascii="Helvetica" w:hAnsi="Helvetica" w:cs="Arial"/>
          <w:color w:val="000000"/>
        </w:rPr>
        <w:t xml:space="preserve">started healthy, then eventually showed symptoms of wasting </w:t>
      </w:r>
      <w:r w:rsidR="00D5670D">
        <w:rPr>
          <w:rFonts w:ascii="Helvetica" w:hAnsi="Helvetica" w:cs="Arial"/>
          <w:color w:val="000000"/>
        </w:rPr>
        <w:t>were labeled as “HS”. Individuals that</w:t>
      </w:r>
      <w:r w:rsidR="00651E6A">
        <w:rPr>
          <w:rFonts w:ascii="Helvetica" w:hAnsi="Helvetica" w:cs="Arial"/>
          <w:color w:val="000000"/>
        </w:rPr>
        <w:t xml:space="preserve"> showed symptoms of wasting on Day 3 (</w:t>
      </w:r>
      <w:r w:rsidR="00767457">
        <w:rPr>
          <w:rFonts w:ascii="Helvetica" w:hAnsi="Helvetica" w:cs="Arial"/>
          <w:color w:val="000000"/>
        </w:rPr>
        <w:t>the first day of recording health status) were labeled as “SS”</w:t>
      </w:r>
      <w:r w:rsidR="00436BE6">
        <w:rPr>
          <w:rFonts w:ascii="Helvetica" w:hAnsi="Helvetica" w:cs="Arial"/>
          <w:color w:val="000000"/>
        </w:rPr>
        <w:t xml:space="preserve"> for analyses</w:t>
      </w:r>
      <w:r w:rsidR="00767457">
        <w:rPr>
          <w:rFonts w:ascii="Helvetica" w:hAnsi="Helvetica" w:cs="Arial"/>
          <w:color w:val="000000"/>
        </w:rPr>
        <w:t xml:space="preserve">. </w:t>
      </w:r>
    </w:p>
    <w:p w14:paraId="48687435" w14:textId="3748FC0A" w:rsidR="00F716E3" w:rsidRDefault="00C80556" w:rsidP="00F716E3">
      <w:pPr>
        <w:spacing w:after="240"/>
        <w:ind w:firstLine="720"/>
        <w:rPr>
          <w:rFonts w:ascii="Helvetica" w:hAnsi="Helvetica" w:cs="Arial"/>
          <w:color w:val="000000"/>
        </w:rPr>
      </w:pPr>
      <w:r>
        <w:rPr>
          <w:rFonts w:ascii="Helvetica" w:hAnsi="Helvetica" w:cs="Arial"/>
          <w:color w:val="000000"/>
        </w:rPr>
        <w:t>RNA and 16S was extracted from tissue samples for analysis.</w:t>
      </w:r>
      <w:r w:rsidR="00A14286">
        <w:rPr>
          <w:rFonts w:ascii="Helvetica" w:hAnsi="Helvetica" w:cs="Arial"/>
          <w:color w:val="000000"/>
        </w:rPr>
        <w:t xml:space="preserve"> Using a poly-A tail, mRNA was sequenced by Illumina </w:t>
      </w:r>
      <w:proofErr w:type="spellStart"/>
      <w:r w:rsidR="00A14286">
        <w:rPr>
          <w:rFonts w:ascii="Helvetica" w:hAnsi="Helvetica" w:cs="Arial"/>
          <w:color w:val="000000"/>
        </w:rPr>
        <w:t>HiSeq</w:t>
      </w:r>
      <w:proofErr w:type="spellEnd"/>
      <w:r w:rsidR="00A14286">
        <w:rPr>
          <w:rFonts w:ascii="Helvetica" w:hAnsi="Helvetica" w:cs="Arial"/>
          <w:color w:val="000000"/>
        </w:rPr>
        <w:t xml:space="preserve"> 3000. </w:t>
      </w:r>
      <w:r w:rsidR="004810A9">
        <w:rPr>
          <w:rFonts w:ascii="Helvetica" w:hAnsi="Helvetica" w:cs="Arial"/>
          <w:color w:val="000000"/>
        </w:rPr>
        <w:t xml:space="preserve">To assess the quality of the reads, the program </w:t>
      </w:r>
      <w:proofErr w:type="spellStart"/>
      <w:r w:rsidR="004810A9">
        <w:rPr>
          <w:rFonts w:ascii="Helvetica" w:hAnsi="Helvetica" w:cs="Arial"/>
          <w:color w:val="000000"/>
        </w:rPr>
        <w:t>FastQC</w:t>
      </w:r>
      <w:proofErr w:type="spellEnd"/>
      <w:r w:rsidR="004810A9">
        <w:rPr>
          <w:rFonts w:ascii="Helvetica" w:hAnsi="Helvetica" w:cs="Arial"/>
          <w:color w:val="000000"/>
        </w:rPr>
        <w:t xml:space="preserve"> was used to give each read a </w:t>
      </w:r>
      <w:proofErr w:type="spellStart"/>
      <w:r w:rsidR="004810A9">
        <w:rPr>
          <w:rFonts w:ascii="Helvetica" w:hAnsi="Helvetica" w:cs="Arial"/>
          <w:color w:val="000000"/>
        </w:rPr>
        <w:t>Phred</w:t>
      </w:r>
      <w:proofErr w:type="spellEnd"/>
      <w:r w:rsidR="004810A9">
        <w:rPr>
          <w:rFonts w:ascii="Helvetica" w:hAnsi="Helvetica" w:cs="Arial"/>
          <w:color w:val="000000"/>
        </w:rPr>
        <w:t xml:space="preserve"> (quality) score. Then using </w:t>
      </w:r>
      <w:proofErr w:type="spellStart"/>
      <w:r w:rsidR="004810A9">
        <w:rPr>
          <w:rFonts w:ascii="Helvetica" w:hAnsi="Helvetica" w:cs="Arial"/>
          <w:color w:val="000000"/>
        </w:rPr>
        <w:t>Trimmomatic</w:t>
      </w:r>
      <w:proofErr w:type="spellEnd"/>
      <w:r w:rsidR="004810A9">
        <w:rPr>
          <w:rFonts w:ascii="Helvetica" w:hAnsi="Helvetica" w:cs="Arial"/>
          <w:color w:val="000000"/>
        </w:rPr>
        <w:t xml:space="preserve">, the reads were cleaned for quality and remaining adapter sequences were trimmed. The quality of the reads </w:t>
      </w:r>
      <w:r w:rsidR="006D358A">
        <w:rPr>
          <w:rFonts w:ascii="Helvetica" w:hAnsi="Helvetica" w:cs="Arial"/>
          <w:color w:val="000000"/>
        </w:rPr>
        <w:t>was</w:t>
      </w:r>
      <w:r w:rsidR="004810A9">
        <w:rPr>
          <w:rFonts w:ascii="Helvetica" w:hAnsi="Helvetica" w:cs="Arial"/>
          <w:color w:val="000000"/>
        </w:rPr>
        <w:t xml:space="preserve"> checked once more with </w:t>
      </w:r>
      <w:proofErr w:type="spellStart"/>
      <w:r w:rsidR="004810A9">
        <w:rPr>
          <w:rFonts w:ascii="Helvetica" w:hAnsi="Helvetica" w:cs="Arial"/>
          <w:color w:val="000000"/>
        </w:rPr>
        <w:t>FastQC</w:t>
      </w:r>
      <w:proofErr w:type="spellEnd"/>
      <w:r w:rsidR="00EB5C01">
        <w:rPr>
          <w:rFonts w:ascii="Helvetica" w:hAnsi="Helvetica" w:cs="Arial"/>
          <w:color w:val="000000"/>
        </w:rPr>
        <w:t xml:space="preserve">. </w:t>
      </w:r>
    </w:p>
    <w:p w14:paraId="0A226C02" w14:textId="103D5743" w:rsidR="00F716E3" w:rsidRDefault="00EB5C01" w:rsidP="00F716E3">
      <w:pPr>
        <w:spacing w:after="240"/>
        <w:ind w:firstLine="720"/>
        <w:rPr>
          <w:rFonts w:ascii="Helvetica" w:hAnsi="Helvetica" w:cs="Arial"/>
          <w:color w:val="000000"/>
        </w:rPr>
      </w:pPr>
      <w:r>
        <w:rPr>
          <w:rFonts w:ascii="Helvetica" w:hAnsi="Helvetica" w:cs="Arial"/>
          <w:color w:val="000000"/>
        </w:rPr>
        <w:t xml:space="preserve">Trinity was used to assemble a de novo transcriptome using paired and concatenated reads from four </w:t>
      </w:r>
      <w:r w:rsidR="000C2908">
        <w:rPr>
          <w:rFonts w:ascii="Helvetica" w:hAnsi="Helvetica" w:cs="Arial"/>
          <w:color w:val="000000"/>
        </w:rPr>
        <w:t xml:space="preserve">individuals. Open reading frames (ORFs) were predicted and </w:t>
      </w:r>
      <w:r w:rsidR="00562A7B">
        <w:rPr>
          <w:rFonts w:ascii="Helvetica" w:hAnsi="Helvetica" w:cs="Arial"/>
          <w:color w:val="000000"/>
        </w:rPr>
        <w:t xml:space="preserve">only transcripts at least 100 amino acids long were kept. To do this, we used the program </w:t>
      </w:r>
      <w:proofErr w:type="spellStart"/>
      <w:r w:rsidR="00562A7B">
        <w:rPr>
          <w:rFonts w:ascii="Helvetica" w:hAnsi="Helvetica" w:cs="Arial"/>
          <w:color w:val="000000"/>
        </w:rPr>
        <w:t>TransDecoder</w:t>
      </w:r>
      <w:proofErr w:type="spellEnd"/>
      <w:r w:rsidR="00562A7B">
        <w:rPr>
          <w:rFonts w:ascii="Helvetica" w:hAnsi="Helvetica" w:cs="Arial"/>
          <w:color w:val="000000"/>
        </w:rPr>
        <w:t>. The clean</w:t>
      </w:r>
      <w:r w:rsidR="00962278">
        <w:rPr>
          <w:rFonts w:ascii="Helvetica" w:hAnsi="Helvetica" w:cs="Arial"/>
          <w:color w:val="000000"/>
        </w:rPr>
        <w:t>ed</w:t>
      </w:r>
      <w:r w:rsidR="00562A7B">
        <w:rPr>
          <w:rFonts w:ascii="Helvetica" w:hAnsi="Helvetica" w:cs="Arial"/>
          <w:color w:val="000000"/>
        </w:rPr>
        <w:t xml:space="preserve"> reads were mapped to the transcriptome assembly to make sequence alignment (SAM) files. From these SAM files, we extracted single nucleotide polymorphisms (SNPs) </w:t>
      </w:r>
      <w:r w:rsidR="00016432">
        <w:rPr>
          <w:rFonts w:ascii="Helvetica" w:hAnsi="Helvetica" w:cs="Arial"/>
          <w:color w:val="000000"/>
        </w:rPr>
        <w:t xml:space="preserve">using the reads2snps program. We used variant call format (VCF) files to hold the large and complex SNP data files and used </w:t>
      </w:r>
      <w:proofErr w:type="spellStart"/>
      <w:r w:rsidR="00016432">
        <w:rPr>
          <w:rFonts w:ascii="Helvetica" w:hAnsi="Helvetica" w:cs="Arial"/>
          <w:color w:val="000000"/>
        </w:rPr>
        <w:t>VCFtools</w:t>
      </w:r>
      <w:proofErr w:type="spellEnd"/>
      <w:r w:rsidR="00016432">
        <w:rPr>
          <w:rFonts w:ascii="Helvetica" w:hAnsi="Helvetica" w:cs="Arial"/>
          <w:color w:val="000000"/>
        </w:rPr>
        <w:t xml:space="preserve"> to filter and analyze SNP data. </w:t>
      </w:r>
    </w:p>
    <w:p w14:paraId="291D5400" w14:textId="76EF07CD" w:rsidR="009B3F0A" w:rsidRDefault="00F716E3" w:rsidP="00F716E3">
      <w:pPr>
        <w:spacing w:after="240"/>
        <w:ind w:firstLine="720"/>
        <w:rPr>
          <w:rFonts w:ascii="Helvetica" w:eastAsia="Times New Roman" w:hAnsi="Helvetica" w:cs="Times New Roman"/>
        </w:rPr>
      </w:pPr>
      <w:r>
        <w:rPr>
          <w:rFonts w:ascii="Helvetica" w:hAnsi="Helvetica" w:cs="Arial"/>
          <w:color w:val="000000"/>
        </w:rPr>
        <w:t xml:space="preserve">To </w:t>
      </w:r>
      <w:r w:rsidR="004F598E">
        <w:rPr>
          <w:rFonts w:ascii="Helvetica" w:hAnsi="Helvetica" w:cs="Arial"/>
          <w:color w:val="000000"/>
        </w:rPr>
        <w:t>determine if there was</w:t>
      </w:r>
      <w:r>
        <w:rPr>
          <w:rFonts w:ascii="Helvetica" w:hAnsi="Helvetica" w:cs="Arial"/>
          <w:color w:val="000000"/>
        </w:rPr>
        <w:t xml:space="preserve"> genetic divergence between groups based on health status, a discriminant analysis of principle components (DAPC) was used. DAPC is a method like PCA but whereas PCA searches arbitrarily for the largest total variance in the data, DAPC maximizes the separation between pre-defined groups while minimizing variation within each group. </w:t>
      </w:r>
      <w:r w:rsidR="00B910C4">
        <w:rPr>
          <w:rFonts w:ascii="Helvetica" w:hAnsi="Helvetica" w:cs="Arial"/>
          <w:color w:val="000000"/>
        </w:rPr>
        <w:t>Thus</w:t>
      </w:r>
      <w:r>
        <w:rPr>
          <w:rFonts w:ascii="Helvetica" w:eastAsia="Times New Roman" w:hAnsi="Helvetica" w:cs="Times New Roman"/>
        </w:rPr>
        <w:t>, group differences are adequately displayed</w:t>
      </w:r>
      <w:r w:rsidR="00B910C4">
        <w:rPr>
          <w:rFonts w:ascii="Helvetica" w:eastAsia="Times New Roman" w:hAnsi="Helvetica" w:cs="Times New Roman"/>
        </w:rPr>
        <w:t>.</w:t>
      </w:r>
      <w:r>
        <w:rPr>
          <w:rFonts w:ascii="Helvetica" w:eastAsia="Times New Roman" w:hAnsi="Helvetica" w:cs="Times New Roman"/>
        </w:rPr>
        <w:t xml:space="preserve"> </w:t>
      </w:r>
      <w:r w:rsidR="00B910C4">
        <w:rPr>
          <w:rFonts w:ascii="Helvetica" w:eastAsia="Times New Roman" w:hAnsi="Helvetica" w:cs="Times New Roman"/>
        </w:rPr>
        <w:t xml:space="preserve">Contributions of alleles to regions of the genome with genetic divergence can be calculated among groups, which has the potential for gene location and identification. Before DAPC was applied, the </w:t>
      </w:r>
      <w:r w:rsidR="004F598E">
        <w:rPr>
          <w:rFonts w:ascii="Helvetica" w:eastAsia="Times New Roman" w:hAnsi="Helvetica" w:cs="Times New Roman"/>
        </w:rPr>
        <w:t xml:space="preserve">raw SNP data was subset and filtered in </w:t>
      </w:r>
      <w:proofErr w:type="spellStart"/>
      <w:r w:rsidR="004F598E">
        <w:rPr>
          <w:rFonts w:ascii="Helvetica" w:eastAsia="Times New Roman" w:hAnsi="Helvetica" w:cs="Times New Roman"/>
        </w:rPr>
        <w:t>VCFtools</w:t>
      </w:r>
      <w:proofErr w:type="spellEnd"/>
      <w:r w:rsidR="00B910C4">
        <w:rPr>
          <w:rFonts w:ascii="Helvetica" w:eastAsia="Times New Roman" w:hAnsi="Helvetica" w:cs="Times New Roman"/>
        </w:rPr>
        <w:t>. Removal of all sub</w:t>
      </w:r>
      <w:r w:rsidR="004F598E">
        <w:rPr>
          <w:rFonts w:ascii="Helvetica" w:eastAsia="Times New Roman" w:hAnsi="Helvetica" w:cs="Times New Roman"/>
        </w:rPr>
        <w:t>tidal individuals was completed to create a subset of</w:t>
      </w:r>
      <w:r w:rsidR="000B50EC">
        <w:rPr>
          <w:rFonts w:ascii="Helvetica" w:eastAsia="Times New Roman" w:hAnsi="Helvetica" w:cs="Times New Roman"/>
        </w:rPr>
        <w:t xml:space="preserve"> 16</w:t>
      </w:r>
      <w:r w:rsidR="004F598E">
        <w:rPr>
          <w:rFonts w:ascii="Helvetica" w:eastAsia="Times New Roman" w:hAnsi="Helvetica" w:cs="Times New Roman"/>
        </w:rPr>
        <w:t xml:space="preserve"> individuals found only in the intertidal</w:t>
      </w:r>
      <w:r w:rsidR="000B50EC">
        <w:rPr>
          <w:rFonts w:ascii="Helvetica" w:eastAsia="Times New Roman" w:hAnsi="Helvetica" w:cs="Times New Roman"/>
        </w:rPr>
        <w:t xml:space="preserve"> (3 HH, 5 HS, 8 SS)</w:t>
      </w:r>
      <w:r w:rsidR="004F598E">
        <w:rPr>
          <w:rFonts w:ascii="Helvetica" w:eastAsia="Times New Roman" w:hAnsi="Helvetica" w:cs="Times New Roman"/>
        </w:rPr>
        <w:t>. Then the file was filtered with the following criteria:</w:t>
      </w:r>
      <w:r w:rsidR="00C27DC8">
        <w:rPr>
          <w:rFonts w:ascii="Helvetica" w:eastAsia="Times New Roman" w:hAnsi="Helvetica" w:cs="Times New Roman"/>
        </w:rPr>
        <w:t xml:space="preserve"> all sites were kept </w:t>
      </w:r>
      <w:proofErr w:type="spellStart"/>
      <w:r w:rsidR="00C27DC8">
        <w:rPr>
          <w:rFonts w:ascii="Helvetica" w:eastAsia="Times New Roman" w:hAnsi="Helvetica" w:cs="Times New Roman"/>
        </w:rPr>
        <w:t>biallelic</w:t>
      </w:r>
      <w:proofErr w:type="spellEnd"/>
      <w:r w:rsidR="00C27DC8">
        <w:rPr>
          <w:rFonts w:ascii="Helvetica" w:eastAsia="Times New Roman" w:hAnsi="Helvetica" w:cs="Times New Roman"/>
        </w:rPr>
        <w:t xml:space="preserve"> </w:t>
      </w:r>
      <w:r w:rsidR="00D415DF">
        <w:rPr>
          <w:rFonts w:ascii="Helvetica" w:eastAsia="Times New Roman" w:hAnsi="Helvetica" w:cs="Times New Roman"/>
        </w:rPr>
        <w:t xml:space="preserve">because mutations occurring at the same site are usually rare, therefore we assumed &gt;2 or &lt;2 were probably sequencing errors. </w:t>
      </w:r>
      <w:r w:rsidR="008D12EA">
        <w:rPr>
          <w:rFonts w:ascii="Helvetica" w:eastAsia="Times New Roman" w:hAnsi="Helvetica" w:cs="Times New Roman"/>
        </w:rPr>
        <w:t>Minor allele frequency was set to 0.02 to remove very rare SNPs (also probably sequencing errors). Max-missing was set to 0.8 to remove sites where fewer than 80% of samples had data</w:t>
      </w:r>
      <w:r w:rsidR="00005EB7">
        <w:rPr>
          <w:rFonts w:ascii="Helvetica" w:eastAsia="Times New Roman" w:hAnsi="Helvetica" w:cs="Times New Roman"/>
        </w:rPr>
        <w:t xml:space="preserve"> because if many individuals were missing data for </w:t>
      </w:r>
      <w:r w:rsidR="00DD5B68">
        <w:rPr>
          <w:rFonts w:ascii="Helvetica" w:eastAsia="Times New Roman" w:hAnsi="Helvetica" w:cs="Times New Roman"/>
        </w:rPr>
        <w:t>a</w:t>
      </w:r>
      <w:r w:rsidR="00005EB7">
        <w:rPr>
          <w:rFonts w:ascii="Helvetica" w:eastAsia="Times New Roman" w:hAnsi="Helvetica" w:cs="Times New Roman"/>
        </w:rPr>
        <w:t xml:space="preserve"> </w:t>
      </w:r>
      <w:proofErr w:type="gramStart"/>
      <w:r w:rsidR="00005EB7">
        <w:rPr>
          <w:rFonts w:ascii="Helvetica" w:eastAsia="Times New Roman" w:hAnsi="Helvetica" w:cs="Times New Roman"/>
        </w:rPr>
        <w:t>particular SNP</w:t>
      </w:r>
      <w:proofErr w:type="gramEnd"/>
      <w:r w:rsidR="00005EB7">
        <w:rPr>
          <w:rFonts w:ascii="Helvetica" w:eastAsia="Times New Roman" w:hAnsi="Helvetica" w:cs="Times New Roman"/>
        </w:rPr>
        <w:t xml:space="preserve">, it could bias the analysis. </w:t>
      </w:r>
      <w:r w:rsidR="000B50EC">
        <w:rPr>
          <w:rFonts w:ascii="Helvetica" w:eastAsia="Times New Roman" w:hAnsi="Helvetica" w:cs="Times New Roman"/>
        </w:rPr>
        <w:t>After filtering, all 16 in</w:t>
      </w:r>
      <w:r w:rsidR="00BF393B">
        <w:rPr>
          <w:rFonts w:ascii="Helvetica" w:eastAsia="Times New Roman" w:hAnsi="Helvetica" w:cs="Times New Roman"/>
        </w:rPr>
        <w:t xml:space="preserve">dividuals were kept and 5,827 out of a possible 7486938 sites were kept. </w:t>
      </w:r>
      <w:r w:rsidR="006C2887">
        <w:rPr>
          <w:rFonts w:ascii="Helvetica" w:eastAsia="Times New Roman" w:hAnsi="Helvetica" w:cs="Times New Roman"/>
        </w:rPr>
        <w:t xml:space="preserve">The filtered VCF SNP file was loaded into R for analysis. </w:t>
      </w:r>
    </w:p>
    <w:p w14:paraId="6F3A120A" w14:textId="21D2EAF8" w:rsidR="003F5EB5" w:rsidRDefault="003F5EB5" w:rsidP="00F716E3">
      <w:pPr>
        <w:spacing w:after="240"/>
        <w:ind w:firstLine="720"/>
        <w:rPr>
          <w:rFonts w:ascii="Helvetica" w:eastAsia="Times New Roman" w:hAnsi="Helvetica" w:cs="Times New Roman"/>
        </w:rPr>
      </w:pPr>
      <w:r>
        <w:rPr>
          <w:rFonts w:ascii="Helvetica" w:eastAsia="Times New Roman" w:hAnsi="Helvetica" w:cs="Times New Roman"/>
        </w:rPr>
        <w:t>*************explain how both sites were analyzed here*******</w:t>
      </w:r>
    </w:p>
    <w:p w14:paraId="7379A62B" w14:textId="10A7C16E" w:rsidR="006C2887" w:rsidRDefault="006C2887" w:rsidP="002E1CB1">
      <w:pPr>
        <w:spacing w:after="240"/>
        <w:ind w:firstLine="720"/>
        <w:rPr>
          <w:rFonts w:ascii="Helvetica" w:eastAsia="Times New Roman" w:hAnsi="Helvetica" w:cs="Times New Roman"/>
        </w:rPr>
      </w:pPr>
      <w:r>
        <w:rPr>
          <w:rFonts w:ascii="Helvetica" w:eastAsia="Times New Roman" w:hAnsi="Helvetica" w:cs="Times New Roman"/>
        </w:rPr>
        <w:t xml:space="preserve">The </w:t>
      </w:r>
      <w:proofErr w:type="spellStart"/>
      <w:r>
        <w:rPr>
          <w:rFonts w:ascii="Helvetica" w:eastAsia="Times New Roman" w:hAnsi="Helvetica" w:cs="Times New Roman"/>
        </w:rPr>
        <w:t>adegenet</w:t>
      </w:r>
      <w:proofErr w:type="spellEnd"/>
      <w:r>
        <w:rPr>
          <w:rFonts w:ascii="Helvetica" w:eastAsia="Times New Roman" w:hAnsi="Helvetica" w:cs="Times New Roman"/>
        </w:rPr>
        <w:t xml:space="preserve"> package was for all DAPC analysis. A </w:t>
      </w:r>
      <w:proofErr w:type="spellStart"/>
      <w:r>
        <w:rPr>
          <w:rFonts w:ascii="Helvetica" w:eastAsia="Times New Roman" w:hAnsi="Helvetica" w:cs="Times New Roman"/>
        </w:rPr>
        <w:t>genlight</w:t>
      </w:r>
      <w:proofErr w:type="spellEnd"/>
      <w:r>
        <w:rPr>
          <w:rFonts w:ascii="Helvetica" w:eastAsia="Times New Roman" w:hAnsi="Helvetica" w:cs="Times New Roman"/>
        </w:rPr>
        <w:t xml:space="preserve"> object was created from the VCF SNP file for efficient analysis (R runs the analysis on this big data faster). The metadata file, previously created, was also loaded into R to assign locality information and disease status to the </w:t>
      </w:r>
      <w:proofErr w:type="spellStart"/>
      <w:r>
        <w:rPr>
          <w:rFonts w:ascii="Helvetica" w:eastAsia="Times New Roman" w:hAnsi="Helvetica" w:cs="Times New Roman"/>
        </w:rPr>
        <w:t>genlight</w:t>
      </w:r>
      <w:proofErr w:type="spellEnd"/>
      <w:r>
        <w:rPr>
          <w:rFonts w:ascii="Helvetica" w:eastAsia="Times New Roman" w:hAnsi="Helvetica" w:cs="Times New Roman"/>
        </w:rPr>
        <w:t xml:space="preserve"> object. The DAPC analysis was run using disease status (HH, </w:t>
      </w:r>
      <w:r w:rsidR="002C18D7">
        <w:rPr>
          <w:rFonts w:ascii="Helvetica" w:eastAsia="Times New Roman" w:hAnsi="Helvetica" w:cs="Times New Roman"/>
        </w:rPr>
        <w:t>HS, SS)</w:t>
      </w:r>
      <w:r>
        <w:rPr>
          <w:rFonts w:ascii="Helvetica" w:eastAsia="Times New Roman" w:hAnsi="Helvetica" w:cs="Times New Roman"/>
        </w:rPr>
        <w:t xml:space="preserve"> to group samples in the intertidal. </w:t>
      </w:r>
      <w:r w:rsidR="005F7C7A">
        <w:rPr>
          <w:rFonts w:ascii="Helvetica" w:eastAsia="Times New Roman" w:hAnsi="Helvetica" w:cs="Times New Roman"/>
        </w:rPr>
        <w:t>In the PCA step, 8 axes were retained because 65% of the variation was explained</w:t>
      </w:r>
      <w:r w:rsidR="00FB49E8">
        <w:rPr>
          <w:rFonts w:ascii="Helvetica" w:eastAsia="Times New Roman" w:hAnsi="Helvetica" w:cs="Times New Roman"/>
        </w:rPr>
        <w:t xml:space="preserve"> in 8 PCA bands</w:t>
      </w:r>
      <w:r w:rsidR="006D6439">
        <w:rPr>
          <w:rFonts w:ascii="Helvetica" w:eastAsia="Times New Roman" w:hAnsi="Helvetica" w:cs="Times New Roman"/>
        </w:rPr>
        <w:t xml:space="preserve">. </w:t>
      </w:r>
      <w:r w:rsidR="00550F7C">
        <w:rPr>
          <w:rFonts w:ascii="Helvetica" w:eastAsia="Times New Roman" w:hAnsi="Helvetica" w:cs="Times New Roman"/>
        </w:rPr>
        <w:t xml:space="preserve"> </w:t>
      </w:r>
      <w:r w:rsidR="002E1CB1">
        <w:rPr>
          <w:rFonts w:ascii="Helvetica" w:eastAsia="Times New Roman" w:hAnsi="Helvetica" w:cs="Times New Roman"/>
        </w:rPr>
        <w:t>Using too many PC’s runs the risk of overfitting the discriminant functions when determining group membership (</w:t>
      </w:r>
      <w:proofErr w:type="spellStart"/>
      <w:r w:rsidR="002E1CB1" w:rsidRPr="002E1CB1">
        <w:rPr>
          <w:rFonts w:ascii="Helvetica" w:eastAsia="Times New Roman" w:hAnsi="Helvetica"/>
        </w:rPr>
        <w:t>Jombart</w:t>
      </w:r>
      <w:proofErr w:type="spellEnd"/>
      <w:r w:rsidR="002E1CB1">
        <w:rPr>
          <w:rFonts w:ascii="Helvetica" w:eastAsia="Times New Roman" w:hAnsi="Helvetica"/>
        </w:rPr>
        <w:t xml:space="preserve"> &amp; Collins 2015).</w:t>
      </w:r>
      <w:r w:rsidR="002E1CB1" w:rsidRPr="002E1CB1">
        <w:rPr>
          <w:rFonts w:ascii="Helvetica" w:eastAsia="Times New Roman" w:hAnsi="Helvetica"/>
        </w:rPr>
        <w:t xml:space="preserve"> </w:t>
      </w:r>
      <w:r w:rsidR="003F380D">
        <w:rPr>
          <w:rFonts w:ascii="Helvetica" w:eastAsia="Times New Roman" w:hAnsi="Helvetica" w:cs="Times New Roman"/>
        </w:rPr>
        <w:t xml:space="preserve">The number of axes retained in the DA step was 2 because the default DA is n(group) </w:t>
      </w:r>
      <w:r w:rsidR="00E713BF">
        <w:rPr>
          <w:rFonts w:ascii="Helvetica" w:eastAsia="Times New Roman" w:hAnsi="Helvetica" w:cs="Times New Roman"/>
        </w:rPr>
        <w:t>–</w:t>
      </w:r>
      <w:r w:rsidR="003F380D">
        <w:rPr>
          <w:rFonts w:ascii="Helvetica" w:eastAsia="Times New Roman" w:hAnsi="Helvetica" w:cs="Times New Roman"/>
        </w:rPr>
        <w:t xml:space="preserve"> 1</w:t>
      </w:r>
      <w:r w:rsidR="00E713BF">
        <w:rPr>
          <w:rFonts w:ascii="Helvetica" w:eastAsia="Times New Roman" w:hAnsi="Helvetica" w:cs="Times New Roman"/>
        </w:rPr>
        <w:t xml:space="preserve">. An annotation table was created by downloading BLAST+ </w:t>
      </w:r>
      <w:r w:rsidR="00B83780">
        <w:rPr>
          <w:rFonts w:ascii="Helvetica" w:eastAsia="Times New Roman" w:hAnsi="Helvetica" w:cs="Times New Roman"/>
        </w:rPr>
        <w:t xml:space="preserve">to our server and </w:t>
      </w:r>
      <w:r w:rsidR="00B01FFA">
        <w:rPr>
          <w:rFonts w:ascii="Helvetica" w:eastAsia="Times New Roman" w:hAnsi="Helvetica" w:cs="Times New Roman"/>
        </w:rPr>
        <w:t>running BLAST to</w:t>
      </w:r>
      <w:r w:rsidR="00B83780">
        <w:rPr>
          <w:rFonts w:ascii="Helvetica" w:eastAsia="Times New Roman" w:hAnsi="Helvetica" w:cs="Times New Roman"/>
        </w:rPr>
        <w:t xml:space="preserve"> the de novo assembly on the server. The annotation table was subset to include only SNPs found to significantly differentiate the groups. </w:t>
      </w:r>
    </w:p>
    <w:p w14:paraId="5F17469C" w14:textId="695DE0D2" w:rsidR="00486FAC" w:rsidRDefault="00486FAC" w:rsidP="00486FAC">
      <w:pPr>
        <w:spacing w:after="240"/>
        <w:ind w:firstLine="720"/>
        <w:rPr>
          <w:rFonts w:ascii="Helvetica" w:eastAsia="Times New Roman" w:hAnsi="Helvetica" w:cs="Times New Roman"/>
        </w:rPr>
      </w:pPr>
      <w:r>
        <w:rPr>
          <w:rFonts w:ascii="Helvetica" w:eastAsia="Times New Roman" w:hAnsi="Helvetica" w:cs="Times New Roman"/>
        </w:rPr>
        <w:t>*************microbiome stuff here*******</w:t>
      </w:r>
    </w:p>
    <w:p w14:paraId="6D3F0CA7" w14:textId="77777777" w:rsidR="00486FAC" w:rsidRPr="002E1CB1" w:rsidRDefault="00486FAC" w:rsidP="00486FAC">
      <w:pPr>
        <w:spacing w:after="240"/>
        <w:rPr>
          <w:rFonts w:ascii="Helvetica" w:eastAsia="Times New Roman" w:hAnsi="Helvetica"/>
        </w:rPr>
      </w:pPr>
    </w:p>
    <w:p w14:paraId="0C3A35B3" w14:textId="7525E6AB" w:rsidR="009B3F0A" w:rsidRDefault="009B3F0A" w:rsidP="009B3F0A">
      <w:pPr>
        <w:spacing w:after="240"/>
        <w:rPr>
          <w:rFonts w:ascii="Helvetica" w:eastAsia="Times New Roman" w:hAnsi="Helvetica" w:cs="Times New Roman"/>
        </w:rPr>
      </w:pPr>
      <w:r>
        <w:rPr>
          <w:rFonts w:ascii="Helvetica" w:eastAsia="Times New Roman" w:hAnsi="Helvetica" w:cs="Times New Roman"/>
        </w:rPr>
        <w:t>Results</w:t>
      </w:r>
    </w:p>
    <w:p w14:paraId="369D2E15" w14:textId="1BD4F3AA" w:rsidR="00B01FFA" w:rsidRDefault="009B3F0A" w:rsidP="009B3F0A">
      <w:pPr>
        <w:spacing w:after="240"/>
        <w:rPr>
          <w:rFonts w:ascii="Helvetica" w:eastAsia="Times New Roman" w:hAnsi="Helvetica" w:cs="Times New Roman"/>
        </w:rPr>
      </w:pPr>
      <w:r>
        <w:rPr>
          <w:rFonts w:ascii="Helvetica" w:eastAsia="Times New Roman" w:hAnsi="Helvetica" w:cs="Times New Roman"/>
        </w:rPr>
        <w:tab/>
      </w:r>
      <w:r w:rsidR="00FA7A38">
        <w:rPr>
          <w:rFonts w:ascii="Helvetica" w:eastAsia="Times New Roman" w:hAnsi="Helvetica" w:cs="Times New Roman"/>
        </w:rPr>
        <w:t xml:space="preserve">A total of 24 ochre stars were collected from </w:t>
      </w:r>
      <w:r w:rsidR="0054280E">
        <w:rPr>
          <w:rFonts w:ascii="Helvetica" w:eastAsia="Times New Roman" w:hAnsi="Helvetica" w:cs="Times New Roman"/>
        </w:rPr>
        <w:t>intertidal and subtidal habitats in Monterey, CA. All individuals were healthy upon collection but most started showing signs of the disease in the days following arrival to the lab. We ran a DAPC analysis on the intertidal habitat between healthy and sick sea stars</w:t>
      </w:r>
      <w:r w:rsidR="00FD0514">
        <w:rPr>
          <w:rFonts w:ascii="Helvetica" w:eastAsia="Times New Roman" w:hAnsi="Helvetica" w:cs="Times New Roman"/>
        </w:rPr>
        <w:t xml:space="preserve"> (16 individuals)</w:t>
      </w:r>
      <w:r w:rsidR="0054280E">
        <w:rPr>
          <w:rFonts w:ascii="Helvetica" w:eastAsia="Times New Roman" w:hAnsi="Helvetica" w:cs="Times New Roman"/>
        </w:rPr>
        <w:t xml:space="preserve"> to measure the extent to which groups possess different genes that distinguish them apart</w:t>
      </w:r>
      <w:r w:rsidR="007A39B3">
        <w:rPr>
          <w:rFonts w:ascii="Helvetica" w:eastAsia="Times New Roman" w:hAnsi="Helvetica" w:cs="Times New Roman"/>
        </w:rPr>
        <w:t xml:space="preserve"> based on health status</w:t>
      </w:r>
      <w:r w:rsidR="0054280E">
        <w:rPr>
          <w:rFonts w:ascii="Helvetica" w:eastAsia="Times New Roman" w:hAnsi="Helvetica" w:cs="Times New Roman"/>
        </w:rPr>
        <w:t xml:space="preserve">. </w:t>
      </w:r>
    </w:p>
    <w:p w14:paraId="46F3253E" w14:textId="77777777" w:rsidR="00A2405C" w:rsidRDefault="00C103F9" w:rsidP="00B01FFA">
      <w:pPr>
        <w:spacing w:after="240"/>
        <w:ind w:firstLine="720"/>
        <w:rPr>
          <w:rFonts w:ascii="Helvetica" w:eastAsia="Times New Roman" w:hAnsi="Helvetica" w:cs="Times New Roman"/>
        </w:rPr>
      </w:pPr>
      <w:r>
        <w:rPr>
          <w:rFonts w:ascii="Helvetica" w:eastAsia="Times New Roman" w:hAnsi="Helvetica" w:cs="Times New Roman"/>
        </w:rPr>
        <w:t xml:space="preserve">The resulting scatter plot (figure 1), </w:t>
      </w:r>
      <w:r w:rsidR="00561DCE">
        <w:rPr>
          <w:rFonts w:ascii="Helvetica" w:eastAsia="Times New Roman" w:hAnsi="Helvetica" w:cs="Times New Roman"/>
        </w:rPr>
        <w:t>shows separation between groups, mostly between the HH individuals and the other two defined groups (HS, SS)</w:t>
      </w:r>
      <w:r w:rsidR="007A39B3">
        <w:rPr>
          <w:rFonts w:ascii="Helvetica" w:eastAsia="Times New Roman" w:hAnsi="Helvetica" w:cs="Times New Roman"/>
        </w:rPr>
        <w:t>. However, there is one HH outlier</w:t>
      </w:r>
      <w:r w:rsidR="00561DCE">
        <w:rPr>
          <w:rFonts w:ascii="Helvetica" w:eastAsia="Times New Roman" w:hAnsi="Helvetica" w:cs="Times New Roman"/>
        </w:rPr>
        <w:t xml:space="preserve"> </w:t>
      </w:r>
      <w:r w:rsidR="007A39B3">
        <w:rPr>
          <w:rFonts w:ascii="Helvetica" w:eastAsia="Times New Roman" w:hAnsi="Helvetica" w:cs="Times New Roman"/>
        </w:rPr>
        <w:t xml:space="preserve">that is grouping closer to the HS and SS groups. </w:t>
      </w:r>
    </w:p>
    <w:p w14:paraId="11BA5DD4" w14:textId="77777777" w:rsidR="00F31AF2" w:rsidRDefault="00A2405C" w:rsidP="008F2F7F">
      <w:pPr>
        <w:keepNext/>
        <w:spacing w:after="240"/>
        <w:ind w:firstLine="720"/>
        <w:jc w:val="center"/>
      </w:pPr>
      <w:r>
        <w:rPr>
          <w:rFonts w:ascii="Helvetica" w:eastAsia="Times New Roman" w:hAnsi="Helvetica" w:cs="Times New Roman"/>
          <w:noProof/>
        </w:rPr>
        <w:drawing>
          <wp:inline distT="0" distB="0" distL="0" distR="0" wp14:anchorId="01315606" wp14:editId="6D1016B9">
            <wp:extent cx="5257796" cy="364282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6">
                      <a:extLst>
                        <a:ext uri="{28A0092B-C50C-407E-A947-70E740481C1C}">
                          <a14:useLocalDpi xmlns:a14="http://schemas.microsoft.com/office/drawing/2010/main" val="0"/>
                        </a:ext>
                      </a:extLst>
                    </a:blip>
                    <a:stretch>
                      <a:fillRect/>
                    </a:stretch>
                  </pic:blipFill>
                  <pic:spPr>
                    <a:xfrm>
                      <a:off x="0" y="0"/>
                      <a:ext cx="5275970" cy="3655413"/>
                    </a:xfrm>
                    <a:prstGeom prst="rect">
                      <a:avLst/>
                    </a:prstGeom>
                  </pic:spPr>
                </pic:pic>
              </a:graphicData>
            </a:graphic>
          </wp:inline>
        </w:drawing>
      </w:r>
    </w:p>
    <w:p w14:paraId="0E6EDA2F" w14:textId="3A8B567A" w:rsidR="00A2405C" w:rsidRDefault="00F31AF2" w:rsidP="00F31AF2">
      <w:pPr>
        <w:pStyle w:val="Caption"/>
        <w:rPr>
          <w:rFonts w:ascii="Helvetica" w:eastAsia="Times New Roman" w:hAnsi="Helvetica" w:cs="Times New Roman"/>
        </w:rPr>
      </w:pPr>
      <w:r>
        <w:t xml:space="preserve">Figure </w:t>
      </w:r>
      <w:fldSimple w:instr=" SEQ Figure \* ARABIC ">
        <w:r w:rsidR="008F2F7F">
          <w:rPr>
            <w:noProof/>
          </w:rPr>
          <w:t>1</w:t>
        </w:r>
      </w:fldSimple>
      <w:r>
        <w:t xml:space="preserve">: </w:t>
      </w:r>
      <w:r w:rsidR="00CB0BB0">
        <w:t>Scatter-plot</w:t>
      </w:r>
      <w:r w:rsidRPr="00CE52E7">
        <w:t xml:space="preserve"> of the three genetic clusters of P. </w:t>
      </w:r>
      <w:proofErr w:type="spellStart"/>
      <w:r>
        <w:t>ochraceus</w:t>
      </w:r>
      <w:proofErr w:type="spellEnd"/>
      <w:r w:rsidRPr="00CE52E7">
        <w:t xml:space="preserve"> resulting from discriminant analysis of principal components (DAPC).</w:t>
      </w:r>
      <w:r w:rsidR="00861A30">
        <w:t xml:space="preserve"> Labels indicate health status of the ochre stars. HH means the individual stayed healthy throughout the study; HS means the individual stayed healthy until after Day 3 of rearing and remained sick until death; SS means the individual showed signs of symptoms on Day 3 of rearing and continued to stay sick until death.</w:t>
      </w:r>
    </w:p>
    <w:p w14:paraId="302ACDCC" w14:textId="12F5D7FA" w:rsidR="009B3F0A" w:rsidRDefault="00367250" w:rsidP="00B01FFA">
      <w:pPr>
        <w:spacing w:after="240"/>
        <w:ind w:firstLine="720"/>
        <w:rPr>
          <w:rFonts w:ascii="Helvetica" w:eastAsia="Times New Roman" w:hAnsi="Helvetica" w:cs="Times New Roman"/>
        </w:rPr>
      </w:pPr>
      <w:r>
        <w:rPr>
          <w:rFonts w:ascii="Helvetica" w:eastAsia="Times New Roman" w:hAnsi="Helvetica" w:cs="Times New Roman"/>
        </w:rPr>
        <w:t>To identify which sites were contributing the most to differentiating between groups, we created a loading plot (figure 2). The significant allele contributions (loadings) are noted as the spikes that rise above the th</w:t>
      </w:r>
      <w:r w:rsidR="003803C2">
        <w:rPr>
          <w:rFonts w:ascii="Helvetica" w:eastAsia="Times New Roman" w:hAnsi="Helvetica" w:cs="Times New Roman"/>
        </w:rPr>
        <w:t>reshold line, which was set to 0.02. Probability threshold “</w:t>
      </w:r>
      <w:proofErr w:type="spellStart"/>
      <w:r w:rsidR="003803C2">
        <w:rPr>
          <w:rFonts w:ascii="Helvetica" w:eastAsia="Times New Roman" w:hAnsi="Helvetica" w:cs="Times New Roman"/>
        </w:rPr>
        <w:t>Probs</w:t>
      </w:r>
      <w:proofErr w:type="spellEnd"/>
      <w:r w:rsidR="003803C2">
        <w:rPr>
          <w:rFonts w:ascii="Helvetica" w:eastAsia="Times New Roman" w:hAnsi="Helvetica" w:cs="Times New Roman"/>
        </w:rPr>
        <w:t xml:space="preserve"> = 0.999” was set</w:t>
      </w:r>
      <w:r>
        <w:rPr>
          <w:rFonts w:ascii="Helvetica" w:eastAsia="Times New Roman" w:hAnsi="Helvetica" w:cs="Times New Roman"/>
        </w:rPr>
        <w:t xml:space="preserve"> to show only the top 0.1% of loci loading onto the DAPC that separate HH, HS, and SS. </w:t>
      </w:r>
      <w:r w:rsidR="003F5EB5">
        <w:rPr>
          <w:rFonts w:ascii="Helvetica" w:eastAsia="Times New Roman" w:hAnsi="Helvetica" w:cs="Times New Roman"/>
        </w:rPr>
        <w:t xml:space="preserve">We found 11 alleles that significantly contributed to the differentiation between groups. </w:t>
      </w:r>
    </w:p>
    <w:p w14:paraId="39D29D44" w14:textId="77777777" w:rsidR="008F2F7F" w:rsidRDefault="008F2F7F" w:rsidP="008F2F7F">
      <w:pPr>
        <w:keepNext/>
        <w:spacing w:after="240"/>
        <w:ind w:firstLine="720"/>
      </w:pPr>
      <w:r>
        <w:rPr>
          <w:rFonts w:ascii="Helvetica" w:eastAsia="Times New Roman" w:hAnsi="Helvetica" w:cs="Times New Roman"/>
          <w:noProof/>
        </w:rPr>
        <w:drawing>
          <wp:inline distT="0" distB="0" distL="0" distR="0" wp14:anchorId="63FF6BCE" wp14:editId="564CC4FD">
            <wp:extent cx="5275730" cy="4534535"/>
            <wp:effectExtent l="0" t="0" r="762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PC Loading plot.jpeg"/>
                    <pic:cNvPicPr/>
                  </pic:nvPicPr>
                  <pic:blipFill>
                    <a:blip r:embed="rId7">
                      <a:extLst>
                        <a:ext uri="{28A0092B-C50C-407E-A947-70E740481C1C}">
                          <a14:useLocalDpi xmlns:a14="http://schemas.microsoft.com/office/drawing/2010/main" val="0"/>
                        </a:ext>
                      </a:extLst>
                    </a:blip>
                    <a:stretch>
                      <a:fillRect/>
                    </a:stretch>
                  </pic:blipFill>
                  <pic:spPr>
                    <a:xfrm>
                      <a:off x="0" y="0"/>
                      <a:ext cx="5293814" cy="4550078"/>
                    </a:xfrm>
                    <a:prstGeom prst="rect">
                      <a:avLst/>
                    </a:prstGeom>
                  </pic:spPr>
                </pic:pic>
              </a:graphicData>
            </a:graphic>
          </wp:inline>
        </w:drawing>
      </w:r>
    </w:p>
    <w:p w14:paraId="5E6A0571" w14:textId="56F23C4C" w:rsidR="00861A30" w:rsidRDefault="008F2F7F" w:rsidP="008F2F7F">
      <w:pPr>
        <w:pStyle w:val="Caption"/>
        <w:rPr>
          <w:rFonts w:ascii="Helvetica" w:eastAsia="Times New Roman" w:hAnsi="Helvetica" w:cs="Times New Roman"/>
        </w:rPr>
      </w:pPr>
      <w:r>
        <w:t xml:space="preserve">Figure </w:t>
      </w:r>
      <w:fldSimple w:instr=" SEQ Figure \* ARABIC ">
        <w:r>
          <w:rPr>
            <w:noProof/>
          </w:rPr>
          <w:t>2</w:t>
        </w:r>
      </w:fldSimple>
      <w:r>
        <w:t xml:space="preserve">: Loading plot retained from DAPC analysis which contains the </w:t>
      </w:r>
      <w:r w:rsidRPr="00446F22">
        <w:t>loci</w:t>
      </w:r>
      <w:r>
        <w:t xml:space="preserve"> that</w:t>
      </w:r>
      <w:r w:rsidRPr="00446F22">
        <w:t xml:space="preserve"> contrib</w:t>
      </w:r>
      <w:r>
        <w:t>ute the mo</w:t>
      </w:r>
      <w:r w:rsidR="00683419">
        <w:t>st to distinguishing healthy and</w:t>
      </w:r>
      <w:r>
        <w:t xml:space="preserve"> s</w:t>
      </w:r>
      <w:r w:rsidRPr="00446F22">
        <w:t>ick individuals</w:t>
      </w:r>
      <w:r>
        <w:t>. In this case, 11 SNPs reflect differences between the 3 groups.</w:t>
      </w:r>
    </w:p>
    <w:p w14:paraId="1379B802" w14:textId="0ED6704D" w:rsidR="00FD7ECF" w:rsidRDefault="0036034C" w:rsidP="00A473C4">
      <w:pPr>
        <w:spacing w:after="240"/>
        <w:ind w:firstLine="720"/>
        <w:rPr>
          <w:rFonts w:ascii="Helvetica" w:eastAsia="Times New Roman" w:hAnsi="Helvetica" w:cs="Times New Roman"/>
        </w:rPr>
      </w:pPr>
      <w:r>
        <w:rPr>
          <w:rFonts w:ascii="Helvetica" w:eastAsia="Times New Roman" w:hAnsi="Helvetica" w:cs="Times New Roman"/>
        </w:rPr>
        <w:t>To put the results in a biological context, w</w:t>
      </w:r>
      <w:r w:rsidR="003F5EB5">
        <w:rPr>
          <w:rFonts w:ascii="Helvetica" w:eastAsia="Times New Roman" w:hAnsi="Helvetica" w:cs="Times New Roman"/>
        </w:rPr>
        <w:t xml:space="preserve">e used </w:t>
      </w:r>
      <w:r w:rsidR="00DC2E5F">
        <w:rPr>
          <w:rFonts w:ascii="Helvetica" w:eastAsia="Times New Roman" w:hAnsi="Helvetica" w:cs="Times New Roman"/>
        </w:rPr>
        <w:t xml:space="preserve">a </w:t>
      </w:r>
      <w:proofErr w:type="spellStart"/>
      <w:r w:rsidR="003F5EB5">
        <w:rPr>
          <w:rFonts w:ascii="Helvetica" w:eastAsia="Times New Roman" w:hAnsi="Helvetica" w:cs="Times New Roman"/>
        </w:rPr>
        <w:t>BLASTx</w:t>
      </w:r>
      <w:proofErr w:type="spellEnd"/>
      <w:r w:rsidR="003F5EB5">
        <w:rPr>
          <w:rFonts w:ascii="Helvetica" w:eastAsia="Times New Roman" w:hAnsi="Helvetica" w:cs="Times New Roman"/>
        </w:rPr>
        <w:t xml:space="preserve"> </w:t>
      </w:r>
      <w:r w:rsidR="00CD4268">
        <w:rPr>
          <w:rFonts w:ascii="Helvetica" w:eastAsia="Times New Roman" w:hAnsi="Helvetica" w:cs="Times New Roman"/>
        </w:rPr>
        <w:t xml:space="preserve">(***********reference************) </w:t>
      </w:r>
      <w:r w:rsidR="003F5EB5">
        <w:rPr>
          <w:rFonts w:ascii="Helvetica" w:eastAsia="Times New Roman" w:hAnsi="Helvetica" w:cs="Times New Roman"/>
        </w:rPr>
        <w:t>annotation table</w:t>
      </w:r>
      <w:r w:rsidR="00DC2E5F">
        <w:rPr>
          <w:rFonts w:ascii="Helvetica" w:eastAsia="Times New Roman" w:hAnsi="Helvetica" w:cs="Times New Roman"/>
        </w:rPr>
        <w:t xml:space="preserve"> to explore</w:t>
      </w:r>
      <w:r w:rsidR="003F5EB5">
        <w:rPr>
          <w:rFonts w:ascii="Helvetica" w:eastAsia="Times New Roman" w:hAnsi="Helvetica" w:cs="Times New Roman"/>
        </w:rPr>
        <w:t xml:space="preserve"> function</w:t>
      </w:r>
      <w:r w:rsidR="00A473C4">
        <w:rPr>
          <w:rFonts w:ascii="Helvetica" w:eastAsia="Times New Roman" w:hAnsi="Helvetica" w:cs="Times New Roman"/>
        </w:rPr>
        <w:t>al categories</w:t>
      </w:r>
      <w:r w:rsidR="003F5EB5">
        <w:rPr>
          <w:rFonts w:ascii="Helvetica" w:eastAsia="Times New Roman" w:hAnsi="Helvetica" w:cs="Times New Roman"/>
        </w:rPr>
        <w:t xml:space="preserve"> of the significant </w:t>
      </w:r>
      <w:r w:rsidR="00E3183B">
        <w:rPr>
          <w:rFonts w:ascii="Helvetica" w:eastAsia="Times New Roman" w:hAnsi="Helvetica" w:cs="Times New Roman"/>
        </w:rPr>
        <w:t>genes found in our study</w:t>
      </w:r>
      <w:r w:rsidR="00A473C4">
        <w:rPr>
          <w:rFonts w:ascii="Helvetica" w:eastAsia="Times New Roman" w:hAnsi="Helvetica" w:cs="Times New Roman"/>
        </w:rPr>
        <w:t xml:space="preserve">. We found that only </w:t>
      </w:r>
      <w:r w:rsidR="00CD4268">
        <w:rPr>
          <w:rFonts w:ascii="Helvetica" w:eastAsia="Times New Roman" w:hAnsi="Helvetica" w:cs="Times New Roman"/>
        </w:rPr>
        <w:t>5</w:t>
      </w:r>
      <w:r w:rsidR="003F5EB5">
        <w:rPr>
          <w:rFonts w:ascii="Helvetica" w:eastAsia="Times New Roman" w:hAnsi="Helvetica" w:cs="Times New Roman"/>
        </w:rPr>
        <w:t xml:space="preserve"> out of the 11 genes we</w:t>
      </w:r>
      <w:r w:rsidR="00A473C4">
        <w:rPr>
          <w:rFonts w:ascii="Helvetica" w:eastAsia="Times New Roman" w:hAnsi="Helvetica" w:cs="Times New Roman"/>
        </w:rPr>
        <w:t>re recognized in BLAST</w:t>
      </w:r>
      <w:r w:rsidR="003F5EB5">
        <w:rPr>
          <w:rFonts w:ascii="Helvetica" w:eastAsia="Times New Roman" w:hAnsi="Helvetica" w:cs="Times New Roman"/>
        </w:rPr>
        <w:t xml:space="preserve">. </w:t>
      </w:r>
      <w:r w:rsidR="00DC2E5F">
        <w:rPr>
          <w:rFonts w:ascii="Helvetica" w:eastAsia="Times New Roman" w:hAnsi="Helvetica" w:cs="Times New Roman"/>
        </w:rPr>
        <w:t>Table 1 lists the genes</w:t>
      </w:r>
      <w:r w:rsidR="00A473C4">
        <w:rPr>
          <w:rFonts w:ascii="Helvetica" w:eastAsia="Times New Roman" w:hAnsi="Helvetica" w:cs="Times New Roman"/>
        </w:rPr>
        <w:t>, coded proteins,</w:t>
      </w:r>
      <w:r w:rsidR="00DC2E5F">
        <w:rPr>
          <w:rFonts w:ascii="Helvetica" w:eastAsia="Times New Roman" w:hAnsi="Helvetica" w:cs="Times New Roman"/>
        </w:rPr>
        <w:t xml:space="preserve"> and respective GO functions. </w:t>
      </w:r>
    </w:p>
    <w:p w14:paraId="5F763DD2" w14:textId="1BFA5102" w:rsidR="00B7319C" w:rsidRDefault="00716CE4" w:rsidP="00D81D30">
      <w:pPr>
        <w:spacing w:after="240"/>
        <w:ind w:firstLine="720"/>
        <w:rPr>
          <w:rFonts w:ascii="Helvetica" w:eastAsia="Times New Roman" w:hAnsi="Helvetica" w:cs="Times New Roman"/>
        </w:rPr>
      </w:pPr>
      <w:proofErr w:type="spellStart"/>
      <w:r>
        <w:rPr>
          <w:rFonts w:ascii="Helvetica" w:eastAsia="Times New Roman" w:hAnsi="Helvetica" w:cs="Times New Roman"/>
        </w:rPr>
        <w:t>Nucleolin</w:t>
      </w:r>
      <w:proofErr w:type="spellEnd"/>
      <w:r>
        <w:rPr>
          <w:rFonts w:ascii="Helvetica" w:eastAsia="Times New Roman" w:hAnsi="Helvetica" w:cs="Times New Roman"/>
        </w:rPr>
        <w:t xml:space="preserve"> (</w:t>
      </w:r>
      <w:r w:rsidR="004B1190">
        <w:rPr>
          <w:rFonts w:ascii="Helvetica" w:eastAsia="Times New Roman" w:hAnsi="Helvetica" w:cs="Times New Roman"/>
        </w:rPr>
        <w:t xml:space="preserve">NCL, </w:t>
      </w:r>
      <w:r>
        <w:rPr>
          <w:rFonts w:ascii="Helvetica" w:eastAsia="Times New Roman" w:hAnsi="Helvetica" w:cs="Times New Roman"/>
        </w:rPr>
        <w:t>a DNA binding protein) and Endonuclease</w:t>
      </w:r>
      <w:r w:rsidR="00B7319C">
        <w:rPr>
          <w:rFonts w:ascii="Helvetica" w:eastAsia="Times New Roman" w:hAnsi="Helvetica" w:cs="Times New Roman"/>
        </w:rPr>
        <w:t xml:space="preserve"> (</w:t>
      </w:r>
      <w:r w:rsidR="004B1190">
        <w:rPr>
          <w:rFonts w:ascii="Helvetica" w:eastAsia="Times New Roman" w:hAnsi="Helvetica" w:cs="Times New Roman"/>
        </w:rPr>
        <w:t xml:space="preserve">mutS2, </w:t>
      </w:r>
      <w:r w:rsidR="00B7319C">
        <w:rPr>
          <w:rFonts w:ascii="Helvetica" w:eastAsia="Times New Roman" w:hAnsi="Helvetica" w:cs="Times New Roman"/>
        </w:rPr>
        <w:t xml:space="preserve">DNA </w:t>
      </w:r>
      <w:r w:rsidR="00C80D71">
        <w:rPr>
          <w:rFonts w:ascii="Helvetica" w:eastAsia="Times New Roman" w:hAnsi="Helvetica" w:cs="Times New Roman"/>
        </w:rPr>
        <w:t>cleaving</w:t>
      </w:r>
      <w:r w:rsidR="00B7319C">
        <w:rPr>
          <w:rFonts w:ascii="Helvetica" w:eastAsia="Times New Roman" w:hAnsi="Helvetica" w:cs="Times New Roman"/>
        </w:rPr>
        <w:t xml:space="preserve">) could be </w:t>
      </w:r>
      <w:r>
        <w:rPr>
          <w:rFonts w:ascii="Helvetica" w:eastAsia="Times New Roman" w:hAnsi="Helvetica" w:cs="Times New Roman"/>
        </w:rPr>
        <w:t xml:space="preserve">involved in </w:t>
      </w:r>
      <w:r w:rsidR="00A95C11">
        <w:rPr>
          <w:rFonts w:ascii="Helvetica" w:eastAsia="Times New Roman" w:hAnsi="Helvetica" w:cs="Times New Roman"/>
        </w:rPr>
        <w:t xml:space="preserve">maintenance processes for </w:t>
      </w:r>
      <w:r w:rsidR="00B7319C">
        <w:rPr>
          <w:rFonts w:ascii="Helvetica" w:eastAsia="Times New Roman" w:hAnsi="Helvetica" w:cs="Times New Roman"/>
        </w:rPr>
        <w:t xml:space="preserve">DNA </w:t>
      </w:r>
      <w:r w:rsidR="00A95C11">
        <w:rPr>
          <w:rFonts w:ascii="Helvetica" w:eastAsia="Times New Roman" w:hAnsi="Helvetica" w:cs="Times New Roman"/>
        </w:rPr>
        <w:t>replication</w:t>
      </w:r>
      <w:r w:rsidR="00D839E6">
        <w:rPr>
          <w:rFonts w:ascii="Helvetica" w:eastAsia="Times New Roman" w:hAnsi="Helvetica" w:cs="Times New Roman"/>
        </w:rPr>
        <w:t xml:space="preserve">. </w:t>
      </w:r>
      <w:r w:rsidR="00E15412">
        <w:rPr>
          <w:rFonts w:ascii="Helvetica" w:eastAsia="Times New Roman" w:hAnsi="Helvetica" w:cs="Times New Roman"/>
        </w:rPr>
        <w:t>The G-protein coupled receptor is probably involved in mediating a signaling pathway</w:t>
      </w:r>
      <w:r w:rsidR="002330AC">
        <w:rPr>
          <w:rFonts w:ascii="Helvetica" w:eastAsia="Times New Roman" w:hAnsi="Helvetica" w:cs="Times New Roman"/>
        </w:rPr>
        <w:t xml:space="preserve">. Nicotinate-nucleotide </w:t>
      </w:r>
      <w:proofErr w:type="spellStart"/>
      <w:r w:rsidR="002330AC">
        <w:rPr>
          <w:rFonts w:ascii="Helvetica" w:eastAsia="Times New Roman" w:hAnsi="Helvetica" w:cs="Times New Roman"/>
        </w:rPr>
        <w:t>adenylyltransferase</w:t>
      </w:r>
      <w:proofErr w:type="spellEnd"/>
      <w:r w:rsidR="00D81D30">
        <w:rPr>
          <w:rFonts w:ascii="Helvetica" w:eastAsia="Times New Roman" w:hAnsi="Helvetica" w:cs="Times New Roman"/>
        </w:rPr>
        <w:t xml:space="preserve"> (</w:t>
      </w:r>
      <w:proofErr w:type="spellStart"/>
      <w:r w:rsidR="00D81D30">
        <w:rPr>
          <w:rFonts w:ascii="Helvetica" w:eastAsia="Times New Roman" w:hAnsi="Helvetica" w:cs="Times New Roman"/>
        </w:rPr>
        <w:t>NaMN</w:t>
      </w:r>
      <w:proofErr w:type="spellEnd"/>
      <w:r w:rsidR="00D81D30">
        <w:rPr>
          <w:rFonts w:ascii="Helvetica" w:eastAsia="Times New Roman" w:hAnsi="Helvetica" w:cs="Times New Roman"/>
        </w:rPr>
        <w:t>)</w:t>
      </w:r>
      <w:r w:rsidR="002330AC">
        <w:rPr>
          <w:rFonts w:ascii="Helvetica" w:eastAsia="Times New Roman" w:hAnsi="Helvetica" w:cs="Times New Roman"/>
        </w:rPr>
        <w:t xml:space="preserve"> is</w:t>
      </w:r>
      <w:r w:rsidR="003172B1">
        <w:rPr>
          <w:rFonts w:ascii="Helvetica" w:eastAsia="Times New Roman" w:hAnsi="Helvetica" w:cs="Times New Roman"/>
        </w:rPr>
        <w:t xml:space="preserve"> an enzyme that catalyzes a reaction for biosynthesis of </w:t>
      </w:r>
      <w:r w:rsidR="00164511" w:rsidRPr="00164511">
        <w:rPr>
          <w:rFonts w:ascii="Helvetica" w:eastAsia="Times New Roman" w:hAnsi="Helvetica" w:cs="Times New Roman"/>
        </w:rPr>
        <w:t xml:space="preserve">nicotinic </w:t>
      </w:r>
      <w:r w:rsidR="00164511">
        <w:rPr>
          <w:rFonts w:ascii="Helvetica" w:eastAsia="Times New Roman" w:hAnsi="Helvetica" w:cs="Times New Roman"/>
        </w:rPr>
        <w:t>acid ade</w:t>
      </w:r>
      <w:r w:rsidR="00AA1878">
        <w:rPr>
          <w:rFonts w:ascii="Helvetica" w:eastAsia="Times New Roman" w:hAnsi="Helvetica" w:cs="Times New Roman"/>
        </w:rPr>
        <w:t xml:space="preserve">nine dinucleotide (NAD) </w:t>
      </w:r>
      <w:r w:rsidR="00AA1878">
        <w:rPr>
          <w:rFonts w:ascii="Helvetica" w:eastAsia="Times New Roman" w:hAnsi="Helvetica" w:cs="Times New Roman"/>
        </w:rPr>
        <w:fldChar w:fldCharType="begin" w:fldLock="1"/>
      </w:r>
      <w:r w:rsidR="00C22707">
        <w:rPr>
          <w:rFonts w:ascii="Helvetica" w:eastAsia="Times New Roman" w:hAnsi="Helvetica" w:cs="Times New Roman"/>
        </w:rPr>
        <w:instrText>ADDIN CSL_CITATION { "citationItems" : [ { "id" : "ITEM-1", "itemData" : { "DOI" : "10.1093/nar/gkw1099", "abstract" :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 "author" : [ { "dropping-particle" : "", "family" : "Consortium", "given" : "The Uniprot", "non-dropping-particle" : "", "parse-names" : false, "suffix" : "" } ], "container-title" : "Nucleic Acids Research", "id" : "ITEM-1", "issued" : { "date-parts" : [ [ "2017" ] ] }, "title" : "UniProt: the universal protein knowledgebase", "type" : "article-journal", "volume" : "45" }, "uris" : [ "http://www.mendeley.com/documents/?uuid=255754ee-2b36-36ad-8722-acea0659aab5" ] } ], "mendeley" : { "formattedCitation" : "(Consortium, 2017)", "plainTextFormattedCitation" : "(Consortium, 2017)", "previouslyFormattedCitation" : "(Consortium, 2017)" }, "properties" : { "noteIndex" : 0 }, "schema" : "https://github.com/citation-style-language/schema/raw/master/csl-citation.json" }</w:instrText>
      </w:r>
      <w:r w:rsidR="00AA1878">
        <w:rPr>
          <w:rFonts w:ascii="Helvetica" w:eastAsia="Times New Roman" w:hAnsi="Helvetica" w:cs="Times New Roman"/>
        </w:rPr>
        <w:fldChar w:fldCharType="separate"/>
      </w:r>
      <w:r w:rsidR="00AA1878" w:rsidRPr="00AA1878">
        <w:rPr>
          <w:rFonts w:ascii="Helvetica" w:eastAsia="Times New Roman" w:hAnsi="Helvetica" w:cs="Times New Roman"/>
          <w:noProof/>
        </w:rPr>
        <w:t>(Consortium, 2017)</w:t>
      </w:r>
      <w:r w:rsidR="00AA1878">
        <w:rPr>
          <w:rFonts w:ascii="Helvetica" w:eastAsia="Times New Roman" w:hAnsi="Helvetica" w:cs="Times New Roman"/>
        </w:rPr>
        <w:fldChar w:fldCharType="end"/>
      </w:r>
      <w:r w:rsidR="00AA1878">
        <w:rPr>
          <w:rFonts w:ascii="Helvetica" w:eastAsia="Times New Roman" w:hAnsi="Helvetica" w:cs="Times New Roman"/>
        </w:rPr>
        <w:t xml:space="preserve">. </w:t>
      </w:r>
      <w:r w:rsidR="00D81D30">
        <w:rPr>
          <w:rFonts w:ascii="Helvetica" w:eastAsia="Times New Roman" w:hAnsi="Helvetica" w:cs="Times New Roman"/>
        </w:rPr>
        <w:t xml:space="preserve">The function of SOCS box protein 3 (SSB-3) is protein ubiquitination which may have implications for immune response to pathogens </w:t>
      </w:r>
      <w:r w:rsidR="00D81D30">
        <w:rPr>
          <w:rFonts w:ascii="Helvetica" w:eastAsia="Times New Roman" w:hAnsi="Helvetica" w:cs="Times New Roman"/>
        </w:rPr>
        <w:fldChar w:fldCharType="begin" w:fldLock="1"/>
      </w:r>
      <w:r w:rsidR="004B1190">
        <w:rPr>
          <w:rFonts w:ascii="Helvetica" w:eastAsia="Times New Roman" w:hAnsi="Helvetica" w:cs="Times New Roman"/>
        </w:rPr>
        <w:instrText>ADDIN CSL_CITATION { "citationItems" : [ { "id" : "ITEM-1", "itemData" : { "DOI" : "10.1093/nar/gkw1071", "ISBN" : "1362-4962 (Electronic)\\r0305-1048 (Linking)", "ISSN" : "0305-1048", "PMID" : "23193264", "abstract" : "The National Center for Biotechnology Information (NCBI) provides a large suite of online resources for biological information and data, including the GenBank\u00ae nucleic acid sequence database and the PubMed database of citations and abstracts for pub- lished life science journals. The Entrez system pro- vides search and retrieval operations for most of these data from 37 distinct databases. The E-utilities serve as the programming interface for the Entrez system. Augmenting many of the Web applications are custom implementations of the BLAST program optimized to search specialized data sets. New re- sources released in the past year include iCn3D, Mu- taBind, and the Antimicrobial Resistance Gene Ref- erence Database; and resources that were updated in the past year include My Bibliography, SciENcv, the Pathogen Detection Project, Assembly, Genome, the Genome Data Viewer, BLAST and PubChem. All of these resources can be accessed through the NCBI home page at www.ncbi.nlm.nih.gov.", "author" : [ { "dropping-particle" : "", "family" : "Coordinators", "given" : "Ncbi Resource", "non-dropping-particle" : "", "parse-names" : false, "suffix" : "" } ], "container-title" : "Nucleic Acids Research", "id" : "ITEM-1", "issued" : { "date-parts" : [ [ "2016" ] ] }, "page" : "1-6", "title" : "Database Resources of the National Center for Biotechnology Information", "type" : "article-journal", "volume" : "45" }, "uris" : [ "http://www.mendeley.com/documents/?uuid=13a605dd-4f69-33ff-ba25-6755f0513375" ] }, { "id" : "ITEM-2", "itemData" : { "DOI" : "10.1093/nar/gkw1099", "abstract" :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 "author" : [ { "dropping-particle" : "", "family" : "Consortium", "given" : "The Uniprot", "non-dropping-particle" : "", "parse-names" : false, "suffix" : "" } ], "container-title" : "Nucleic Acids Research", "id" : "ITEM-2", "issued" : { "date-parts" : [ [ "2017" ] ] }, "title" : "UniProt: the universal protein knowledgebase", "type" : "article-journal", "volume" : "45" }, "uris" : [ "http://www.mendeley.com/documents/?uuid=255754ee-2b36-36ad-8722-acea0659aab5" ] } ], "mendeley" : { "formattedCitation" : "(Consortium, 2017; Coordinators, 2016)", "plainTextFormattedCitation" : "(Consortium, 2017; Coordinators, 2016)", "previouslyFormattedCitation" : "(Consortium, 2017; Coordinators, 2016)" }, "properties" : { "noteIndex" : 0 }, "schema" : "https://github.com/citation-style-language/schema/raw/master/csl-citation.json" }</w:instrText>
      </w:r>
      <w:r w:rsidR="00D81D30">
        <w:rPr>
          <w:rFonts w:ascii="Helvetica" w:eastAsia="Times New Roman" w:hAnsi="Helvetica" w:cs="Times New Roman"/>
        </w:rPr>
        <w:fldChar w:fldCharType="separate"/>
      </w:r>
      <w:r w:rsidR="004B1190" w:rsidRPr="004B1190">
        <w:rPr>
          <w:rFonts w:ascii="Helvetica" w:eastAsia="Times New Roman" w:hAnsi="Helvetica" w:cs="Times New Roman"/>
          <w:noProof/>
        </w:rPr>
        <w:t>(Consortium, 2017; Coordinators, 2016)</w:t>
      </w:r>
      <w:r w:rsidR="00D81D30">
        <w:rPr>
          <w:rFonts w:ascii="Helvetica" w:eastAsia="Times New Roman" w:hAnsi="Helvetica" w:cs="Times New Roman"/>
        </w:rPr>
        <w:fldChar w:fldCharType="end"/>
      </w:r>
      <w:r w:rsidR="00D81D30">
        <w:rPr>
          <w:rFonts w:ascii="Helvetica" w:eastAsia="Times New Roman" w:hAnsi="Helvetica" w:cs="Times New Roman"/>
        </w:rPr>
        <w:t>.</w:t>
      </w:r>
    </w:p>
    <w:p w14:paraId="7494E8DA" w14:textId="77777777" w:rsidR="00D81D30" w:rsidRPr="00836581" w:rsidRDefault="00D81D30" w:rsidP="00836581">
      <w:pPr>
        <w:spacing w:after="240"/>
        <w:ind w:firstLine="720"/>
        <w:rPr>
          <w:rFonts w:ascii="Helvetica" w:eastAsia="Times New Roman" w:hAnsi="Helvetica" w:cs="Times New Roman"/>
        </w:rPr>
      </w:pPr>
    </w:p>
    <w:tbl>
      <w:tblPr>
        <w:tblStyle w:val="GridTable4-Accent6"/>
        <w:tblpPr w:leftFromText="180" w:rightFromText="180" w:vertAnchor="text" w:horzAnchor="page" w:tblpXSpec="center" w:tblpY="377"/>
        <w:tblW w:w="5006" w:type="pct"/>
        <w:tblLayout w:type="fixed"/>
        <w:tblLook w:val="04A0" w:firstRow="1" w:lastRow="0" w:firstColumn="1" w:lastColumn="0" w:noHBand="0" w:noVBand="1"/>
      </w:tblPr>
      <w:tblGrid>
        <w:gridCol w:w="3123"/>
        <w:gridCol w:w="1563"/>
        <w:gridCol w:w="1709"/>
        <w:gridCol w:w="2966"/>
      </w:tblGrid>
      <w:tr w:rsidR="00CD4268" w:rsidRPr="00F47EE4" w14:paraId="2DF0A313" w14:textId="77777777" w:rsidTr="00CD426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pct"/>
            <w:noWrap/>
            <w:hideMark/>
          </w:tcPr>
          <w:p w14:paraId="3E5A6199" w14:textId="77777777" w:rsidR="00CD4268" w:rsidRPr="00F47EE4" w:rsidRDefault="00CD4268" w:rsidP="00CD4268">
            <w:pPr>
              <w:rPr>
                <w:color w:val="000000" w:themeColor="text1"/>
              </w:rPr>
            </w:pPr>
            <w:r w:rsidRPr="00F47EE4">
              <w:rPr>
                <w:color w:val="000000" w:themeColor="text1"/>
              </w:rPr>
              <w:t>Protein Names</w:t>
            </w:r>
          </w:p>
        </w:tc>
        <w:tc>
          <w:tcPr>
            <w:tcW w:w="835" w:type="pct"/>
            <w:noWrap/>
            <w:hideMark/>
          </w:tcPr>
          <w:p w14:paraId="2C5EF330" w14:textId="77777777" w:rsidR="00CD4268" w:rsidRPr="00F47EE4" w:rsidRDefault="00CD4268" w:rsidP="00CD4268">
            <w:pPr>
              <w:cnfStyle w:val="100000000000" w:firstRow="1"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Gene Names</w:t>
            </w:r>
          </w:p>
        </w:tc>
        <w:tc>
          <w:tcPr>
            <w:tcW w:w="913" w:type="pct"/>
            <w:noWrap/>
            <w:hideMark/>
          </w:tcPr>
          <w:p w14:paraId="51A452A7" w14:textId="77777777" w:rsidR="00CD4268" w:rsidRPr="00F47EE4" w:rsidRDefault="00CD4268" w:rsidP="00CD4268">
            <w:pPr>
              <w:cnfStyle w:val="100000000000" w:firstRow="1"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Organism</w:t>
            </w:r>
          </w:p>
        </w:tc>
        <w:tc>
          <w:tcPr>
            <w:tcW w:w="1584" w:type="pct"/>
            <w:noWrap/>
            <w:hideMark/>
          </w:tcPr>
          <w:p w14:paraId="28039ED2" w14:textId="77777777" w:rsidR="00CD4268" w:rsidRPr="00F47EE4" w:rsidRDefault="00CD4268" w:rsidP="00CD4268">
            <w:pPr>
              <w:cnfStyle w:val="100000000000" w:firstRow="1"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Gene Ontology</w:t>
            </w:r>
          </w:p>
        </w:tc>
      </w:tr>
      <w:tr w:rsidR="00CD4268" w:rsidRPr="00F47EE4" w14:paraId="3B9D36FF" w14:textId="77777777" w:rsidTr="00CD42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pct"/>
            <w:noWrap/>
            <w:hideMark/>
          </w:tcPr>
          <w:p w14:paraId="03ACE001" w14:textId="77777777" w:rsidR="00CD4268" w:rsidRPr="00F47EE4" w:rsidRDefault="00CD4268" w:rsidP="00CD4268">
            <w:pPr>
              <w:rPr>
                <w:color w:val="000000" w:themeColor="text1"/>
              </w:rPr>
            </w:pPr>
            <w:r w:rsidRPr="00F47EE4">
              <w:rPr>
                <w:color w:val="000000" w:themeColor="text1"/>
              </w:rPr>
              <w:t>SPRY domain-containing SOCS box protein 3 (SSB-3)</w:t>
            </w:r>
          </w:p>
        </w:tc>
        <w:tc>
          <w:tcPr>
            <w:tcW w:w="835" w:type="pct"/>
            <w:noWrap/>
            <w:hideMark/>
          </w:tcPr>
          <w:p w14:paraId="1A1A4083"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SPSB3 C16orf31 SSB3</w:t>
            </w:r>
          </w:p>
        </w:tc>
        <w:tc>
          <w:tcPr>
            <w:tcW w:w="913" w:type="pct"/>
            <w:noWrap/>
            <w:hideMark/>
          </w:tcPr>
          <w:p w14:paraId="7C299344"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Homo sapiens</w:t>
            </w:r>
          </w:p>
        </w:tc>
        <w:tc>
          <w:tcPr>
            <w:tcW w:w="1584" w:type="pct"/>
            <w:noWrap/>
            <w:hideMark/>
          </w:tcPr>
          <w:p w14:paraId="620381F3"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protein ubiquitination [GO:0016567]</w:t>
            </w:r>
          </w:p>
        </w:tc>
      </w:tr>
      <w:tr w:rsidR="00CD4268" w:rsidRPr="00F47EE4" w14:paraId="272DF676" w14:textId="77777777" w:rsidTr="00CD4268">
        <w:trPr>
          <w:trHeight w:val="320"/>
        </w:trPr>
        <w:tc>
          <w:tcPr>
            <w:cnfStyle w:val="001000000000" w:firstRow="0" w:lastRow="0" w:firstColumn="1" w:lastColumn="0" w:oddVBand="0" w:evenVBand="0" w:oddHBand="0" w:evenHBand="0" w:firstRowFirstColumn="0" w:firstRowLastColumn="0" w:lastRowFirstColumn="0" w:lastRowLastColumn="0"/>
            <w:tcW w:w="1668" w:type="pct"/>
            <w:noWrap/>
            <w:hideMark/>
          </w:tcPr>
          <w:p w14:paraId="1953A7CF" w14:textId="77777777" w:rsidR="00CD4268" w:rsidRPr="00F47EE4" w:rsidRDefault="00CD4268" w:rsidP="00CD4268">
            <w:pPr>
              <w:rPr>
                <w:color w:val="000000" w:themeColor="text1"/>
              </w:rPr>
            </w:pPr>
            <w:proofErr w:type="spellStart"/>
            <w:r w:rsidRPr="00F47EE4">
              <w:rPr>
                <w:color w:val="000000" w:themeColor="text1"/>
              </w:rPr>
              <w:t>Nucleolin</w:t>
            </w:r>
            <w:proofErr w:type="spellEnd"/>
            <w:r w:rsidRPr="00F47EE4">
              <w:rPr>
                <w:color w:val="000000" w:themeColor="text1"/>
              </w:rPr>
              <w:t xml:space="preserve"> (Protein C23)</w:t>
            </w:r>
          </w:p>
        </w:tc>
        <w:tc>
          <w:tcPr>
            <w:tcW w:w="835" w:type="pct"/>
            <w:noWrap/>
            <w:hideMark/>
          </w:tcPr>
          <w:p w14:paraId="39597B81" w14:textId="77777777" w:rsidR="00CD4268" w:rsidRPr="00F47EE4" w:rsidRDefault="00CD4268" w:rsidP="00CD4268">
            <w:pPr>
              <w:cnfStyle w:val="000000000000" w:firstRow="0"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NCL</w:t>
            </w:r>
          </w:p>
        </w:tc>
        <w:tc>
          <w:tcPr>
            <w:tcW w:w="913" w:type="pct"/>
            <w:noWrap/>
            <w:hideMark/>
          </w:tcPr>
          <w:p w14:paraId="38E3CC65" w14:textId="77777777" w:rsidR="00CD4268" w:rsidRPr="00F47EE4" w:rsidRDefault="00CD4268" w:rsidP="00CD4268">
            <w:pPr>
              <w:cnfStyle w:val="000000000000" w:firstRow="0"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 xml:space="preserve">Gallus </w:t>
            </w:r>
            <w:proofErr w:type="spellStart"/>
            <w:r w:rsidRPr="00F47EE4">
              <w:rPr>
                <w:color w:val="000000" w:themeColor="text1"/>
              </w:rPr>
              <w:t>gallus</w:t>
            </w:r>
            <w:proofErr w:type="spellEnd"/>
          </w:p>
        </w:tc>
        <w:tc>
          <w:tcPr>
            <w:tcW w:w="1584" w:type="pct"/>
            <w:noWrap/>
            <w:hideMark/>
          </w:tcPr>
          <w:p w14:paraId="162511F1" w14:textId="77777777" w:rsidR="00CD4268" w:rsidRPr="00F47EE4" w:rsidRDefault="00CD4268" w:rsidP="00CD4268">
            <w:pPr>
              <w:cnfStyle w:val="000000000000" w:firstRow="0"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DNA binding [GO:0003677]</w:t>
            </w:r>
          </w:p>
        </w:tc>
      </w:tr>
      <w:tr w:rsidR="00CD4268" w:rsidRPr="00F47EE4" w14:paraId="48E6E016" w14:textId="77777777" w:rsidTr="00CD42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pct"/>
            <w:noWrap/>
            <w:hideMark/>
          </w:tcPr>
          <w:p w14:paraId="2954D147" w14:textId="77777777" w:rsidR="00CD4268" w:rsidRPr="00F47EE4" w:rsidRDefault="00CD4268" w:rsidP="00CD4268">
            <w:pPr>
              <w:rPr>
                <w:color w:val="000000" w:themeColor="text1"/>
              </w:rPr>
            </w:pPr>
            <w:r w:rsidRPr="00F47EE4">
              <w:rPr>
                <w:color w:val="000000" w:themeColor="text1"/>
              </w:rPr>
              <w:t>Endonuclease MutS2 (EC 3.1.</w:t>
            </w:r>
            <w:proofErr w:type="gramStart"/>
            <w:r w:rsidRPr="00F47EE4">
              <w:rPr>
                <w:color w:val="000000" w:themeColor="text1"/>
              </w:rPr>
              <w:t>-.-</w:t>
            </w:r>
            <w:proofErr w:type="gramEnd"/>
            <w:r w:rsidRPr="00F47EE4">
              <w:rPr>
                <w:color w:val="000000" w:themeColor="text1"/>
              </w:rPr>
              <w:t>)</w:t>
            </w:r>
          </w:p>
        </w:tc>
        <w:tc>
          <w:tcPr>
            <w:tcW w:w="835" w:type="pct"/>
            <w:noWrap/>
            <w:hideMark/>
          </w:tcPr>
          <w:p w14:paraId="35ED646A"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mutS2 Sez_0334</w:t>
            </w:r>
          </w:p>
        </w:tc>
        <w:tc>
          <w:tcPr>
            <w:tcW w:w="913" w:type="pct"/>
            <w:noWrap/>
            <w:hideMark/>
          </w:tcPr>
          <w:p w14:paraId="6F320541"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 xml:space="preserve">Streptococcus </w:t>
            </w:r>
            <w:proofErr w:type="spellStart"/>
            <w:r w:rsidRPr="00F47EE4">
              <w:rPr>
                <w:color w:val="000000" w:themeColor="text1"/>
              </w:rPr>
              <w:t>equi</w:t>
            </w:r>
            <w:proofErr w:type="spellEnd"/>
            <w:r w:rsidRPr="00F47EE4">
              <w:rPr>
                <w:color w:val="000000" w:themeColor="text1"/>
              </w:rPr>
              <w:t xml:space="preserve"> subsp. </w:t>
            </w:r>
            <w:proofErr w:type="spellStart"/>
            <w:r w:rsidRPr="00F47EE4">
              <w:rPr>
                <w:color w:val="000000" w:themeColor="text1"/>
              </w:rPr>
              <w:t>Zooepidemicus</w:t>
            </w:r>
            <w:proofErr w:type="spellEnd"/>
          </w:p>
        </w:tc>
        <w:tc>
          <w:tcPr>
            <w:tcW w:w="1584" w:type="pct"/>
            <w:noWrap/>
            <w:hideMark/>
          </w:tcPr>
          <w:p w14:paraId="6D008B24"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endonuclease activity [GO:0004519]</w:t>
            </w:r>
          </w:p>
        </w:tc>
      </w:tr>
      <w:tr w:rsidR="00CD4268" w:rsidRPr="00F47EE4" w14:paraId="0BF46046" w14:textId="77777777" w:rsidTr="00CD4268">
        <w:trPr>
          <w:trHeight w:val="320"/>
        </w:trPr>
        <w:tc>
          <w:tcPr>
            <w:cnfStyle w:val="001000000000" w:firstRow="0" w:lastRow="0" w:firstColumn="1" w:lastColumn="0" w:oddVBand="0" w:evenVBand="0" w:oddHBand="0" w:evenHBand="0" w:firstRowFirstColumn="0" w:firstRowLastColumn="0" w:lastRowFirstColumn="0" w:lastRowLastColumn="0"/>
            <w:tcW w:w="1668" w:type="pct"/>
            <w:noWrap/>
            <w:hideMark/>
          </w:tcPr>
          <w:p w14:paraId="5C2F7725" w14:textId="77777777" w:rsidR="00CD4268" w:rsidRPr="00F47EE4" w:rsidRDefault="00CD4268" w:rsidP="00CD4268">
            <w:pPr>
              <w:rPr>
                <w:color w:val="000000" w:themeColor="text1"/>
              </w:rPr>
            </w:pPr>
            <w:r w:rsidRPr="00F47EE4">
              <w:rPr>
                <w:color w:val="000000" w:themeColor="text1"/>
              </w:rPr>
              <w:t xml:space="preserve">Probable nicotinate-nucleotide </w:t>
            </w:r>
            <w:proofErr w:type="spellStart"/>
            <w:r w:rsidRPr="00F47EE4">
              <w:rPr>
                <w:color w:val="000000" w:themeColor="text1"/>
              </w:rPr>
              <w:t>adenylyltransferase</w:t>
            </w:r>
            <w:proofErr w:type="spellEnd"/>
            <w:r w:rsidRPr="00F47EE4">
              <w:rPr>
                <w:color w:val="000000" w:themeColor="text1"/>
              </w:rPr>
              <w:t xml:space="preserve"> (EC 2.7.7.18)</w:t>
            </w:r>
          </w:p>
        </w:tc>
        <w:tc>
          <w:tcPr>
            <w:tcW w:w="835" w:type="pct"/>
            <w:noWrap/>
            <w:hideMark/>
          </w:tcPr>
          <w:p w14:paraId="23FAA767" w14:textId="77777777" w:rsidR="00CD4268" w:rsidRPr="00F47EE4" w:rsidRDefault="00CD4268" w:rsidP="00CD4268">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F47EE4">
              <w:rPr>
                <w:color w:val="000000" w:themeColor="text1"/>
              </w:rPr>
              <w:t>nadD</w:t>
            </w:r>
            <w:proofErr w:type="spellEnd"/>
            <w:r w:rsidRPr="00F47EE4">
              <w:rPr>
                <w:color w:val="000000" w:themeColor="text1"/>
              </w:rPr>
              <w:t xml:space="preserve"> CFF8240_1430</w:t>
            </w:r>
          </w:p>
        </w:tc>
        <w:tc>
          <w:tcPr>
            <w:tcW w:w="913" w:type="pct"/>
            <w:noWrap/>
            <w:hideMark/>
          </w:tcPr>
          <w:p w14:paraId="61F4CF8A" w14:textId="77777777" w:rsidR="00CD4268" w:rsidRPr="00F47EE4" w:rsidRDefault="00CD4268" w:rsidP="00CD4268">
            <w:pPr>
              <w:cnfStyle w:val="000000000000" w:firstRow="0"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Campylobacter fetus subsp. Fetus</w:t>
            </w:r>
          </w:p>
        </w:tc>
        <w:tc>
          <w:tcPr>
            <w:tcW w:w="1584" w:type="pct"/>
            <w:noWrap/>
            <w:hideMark/>
          </w:tcPr>
          <w:p w14:paraId="07CAD906" w14:textId="77777777" w:rsidR="00CD4268" w:rsidRPr="00F47EE4" w:rsidRDefault="00CD4268" w:rsidP="00CD4268">
            <w:pPr>
              <w:cnfStyle w:val="000000000000" w:firstRow="0" w:lastRow="0" w:firstColumn="0" w:lastColumn="0" w:oddVBand="0" w:evenVBand="0" w:oddHBand="0" w:evenHBand="0" w:firstRowFirstColumn="0" w:firstRowLastColumn="0" w:lastRowFirstColumn="0" w:lastRowLastColumn="0"/>
              <w:rPr>
                <w:color w:val="000000" w:themeColor="text1"/>
              </w:rPr>
            </w:pPr>
            <w:r w:rsidRPr="00F47EE4">
              <w:rPr>
                <w:color w:val="000000" w:themeColor="text1"/>
              </w:rPr>
              <w:t xml:space="preserve">nicotinate-nucleotide </w:t>
            </w:r>
            <w:proofErr w:type="spellStart"/>
            <w:r w:rsidRPr="00F47EE4">
              <w:rPr>
                <w:color w:val="000000" w:themeColor="text1"/>
              </w:rPr>
              <w:t>adenylyltransferase</w:t>
            </w:r>
            <w:proofErr w:type="spellEnd"/>
            <w:r w:rsidRPr="00F47EE4">
              <w:rPr>
                <w:color w:val="000000" w:themeColor="text1"/>
              </w:rPr>
              <w:t xml:space="preserve"> activity [GO:0004515]</w:t>
            </w:r>
          </w:p>
        </w:tc>
      </w:tr>
      <w:tr w:rsidR="00CD4268" w:rsidRPr="00F47EE4" w14:paraId="01679881" w14:textId="77777777" w:rsidTr="00CD42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pct"/>
            <w:noWrap/>
            <w:hideMark/>
          </w:tcPr>
          <w:p w14:paraId="391E0D89" w14:textId="77777777" w:rsidR="00CD4268" w:rsidRPr="00F47EE4" w:rsidRDefault="00CD4268" w:rsidP="00CD4268">
            <w:pPr>
              <w:rPr>
                <w:color w:val="000000" w:themeColor="text1"/>
              </w:rPr>
            </w:pPr>
            <w:r w:rsidRPr="00F47EE4">
              <w:rPr>
                <w:color w:val="000000" w:themeColor="text1"/>
              </w:rPr>
              <w:t>Smoothened homolog (SMO) (Fragment)</w:t>
            </w:r>
          </w:p>
        </w:tc>
        <w:tc>
          <w:tcPr>
            <w:tcW w:w="835" w:type="pct"/>
            <w:noWrap/>
            <w:hideMark/>
          </w:tcPr>
          <w:p w14:paraId="50FA0BC6"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SMO SMOH</w:t>
            </w:r>
          </w:p>
        </w:tc>
        <w:tc>
          <w:tcPr>
            <w:tcW w:w="913" w:type="pct"/>
            <w:noWrap/>
            <w:hideMark/>
          </w:tcPr>
          <w:p w14:paraId="23A27DF4"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 xml:space="preserve">Gallus </w:t>
            </w:r>
            <w:proofErr w:type="spellStart"/>
            <w:r w:rsidRPr="00F47EE4">
              <w:rPr>
                <w:color w:val="000000" w:themeColor="text1"/>
              </w:rPr>
              <w:t>gallus</w:t>
            </w:r>
            <w:proofErr w:type="spellEnd"/>
          </w:p>
        </w:tc>
        <w:tc>
          <w:tcPr>
            <w:tcW w:w="1584" w:type="pct"/>
            <w:noWrap/>
            <w:hideMark/>
          </w:tcPr>
          <w:p w14:paraId="2BC6B702" w14:textId="77777777" w:rsidR="00CD4268" w:rsidRPr="00F47EE4" w:rsidRDefault="00CD4268" w:rsidP="00CD4268">
            <w:pPr>
              <w:cnfStyle w:val="000000100000" w:firstRow="0" w:lastRow="0" w:firstColumn="0" w:lastColumn="0" w:oddVBand="0" w:evenVBand="0" w:oddHBand="1" w:evenHBand="0" w:firstRowFirstColumn="0" w:firstRowLastColumn="0" w:lastRowFirstColumn="0" w:lastRowLastColumn="0"/>
              <w:rPr>
                <w:color w:val="000000" w:themeColor="text1"/>
              </w:rPr>
            </w:pPr>
            <w:r w:rsidRPr="00F47EE4">
              <w:rPr>
                <w:color w:val="000000" w:themeColor="text1"/>
              </w:rPr>
              <w:t>G-protein coupled receptor activity [GO:0004930]</w:t>
            </w:r>
          </w:p>
        </w:tc>
      </w:tr>
    </w:tbl>
    <w:p w14:paraId="434A70CC" w14:textId="7E5238FE" w:rsidR="00F47EE4" w:rsidRPr="00CD4268" w:rsidRDefault="00CD4268" w:rsidP="00CD4268">
      <w:pPr>
        <w:pStyle w:val="Caption"/>
        <w:rPr>
          <w:rFonts w:ascii="Helvetica" w:eastAsia="Times New Roman" w:hAnsi="Helvetica" w:cs="Times New Roman"/>
        </w:rPr>
      </w:pPr>
      <w:r>
        <w:t>Table 1</w:t>
      </w:r>
      <w:r>
        <w:t xml:space="preserve">: </w:t>
      </w:r>
      <w:r>
        <w:t xml:space="preserve">Summary of the 5 significant genes found including names, subsequent protein names, organism sources, and GO terms </w:t>
      </w:r>
      <w:r>
        <w:t xml:space="preserve"> </w:t>
      </w:r>
    </w:p>
    <w:p w14:paraId="19D60EC4" w14:textId="62DD4866" w:rsidR="00F47EE4" w:rsidRDefault="00F47EE4">
      <w:pPr>
        <w:rPr>
          <w:rFonts w:ascii="Helvetica" w:hAnsi="Helvetica"/>
        </w:rPr>
      </w:pPr>
    </w:p>
    <w:p w14:paraId="336167F4" w14:textId="6A456D83" w:rsidR="00CD4268" w:rsidRDefault="00CD4268">
      <w:pPr>
        <w:rPr>
          <w:rFonts w:ascii="Helvetica" w:hAnsi="Helvetica"/>
        </w:rPr>
      </w:pPr>
      <w:r>
        <w:rPr>
          <w:rFonts w:ascii="Helvetica" w:hAnsi="Helvetica"/>
        </w:rPr>
        <w:t>Discussion</w:t>
      </w:r>
    </w:p>
    <w:p w14:paraId="3ADDCE70" w14:textId="77777777" w:rsidR="00CD4268" w:rsidRDefault="00CD4268">
      <w:pPr>
        <w:rPr>
          <w:rFonts w:ascii="Helvetica" w:hAnsi="Helvetica"/>
        </w:rPr>
      </w:pPr>
    </w:p>
    <w:p w14:paraId="28F8534C" w14:textId="4F497DC4" w:rsidR="00AF560E" w:rsidRDefault="00CD4268" w:rsidP="00D93DA5">
      <w:pPr>
        <w:ind w:firstLine="720"/>
        <w:rPr>
          <w:rFonts w:ascii="Helvetica" w:hAnsi="Helvetica" w:cs="Arial"/>
          <w:color w:val="000000"/>
        </w:rPr>
      </w:pPr>
      <w:r>
        <w:rPr>
          <w:rFonts w:ascii="Helvetica" w:hAnsi="Helvetica"/>
        </w:rPr>
        <w:tab/>
      </w:r>
      <w:r w:rsidR="003803C2">
        <w:rPr>
          <w:rFonts w:ascii="Helvetica" w:hAnsi="Helvetica"/>
        </w:rPr>
        <w:t>Sea Star Wasting Disease has become increasingly prevalent in Asteroids</w:t>
      </w:r>
      <w:r w:rsidR="00D81D30">
        <w:rPr>
          <w:rFonts w:ascii="Helvetica" w:hAnsi="Helvetica"/>
        </w:rPr>
        <w:t xml:space="preserve"> along the Pacific coast, and w</w:t>
      </w:r>
      <w:r w:rsidR="00A66970">
        <w:rPr>
          <w:rFonts w:ascii="Helvetica" w:hAnsi="Helvetica"/>
        </w:rPr>
        <w:t>ith incredible mass mortality of these keystone p</w:t>
      </w:r>
      <w:r w:rsidR="00F24E07">
        <w:rPr>
          <w:rFonts w:ascii="Helvetica" w:hAnsi="Helvetica"/>
        </w:rPr>
        <w:t xml:space="preserve">redators, it is imperative to obtain </w:t>
      </w:r>
      <w:r w:rsidR="00A75D3E">
        <w:rPr>
          <w:rFonts w:ascii="Helvetica" w:hAnsi="Helvetica"/>
        </w:rPr>
        <w:t xml:space="preserve">information regarding the pathogen and host. </w:t>
      </w:r>
      <w:r w:rsidR="00D81D30">
        <w:rPr>
          <w:rFonts w:ascii="Helvetica" w:hAnsi="Helvetica"/>
        </w:rPr>
        <w:t xml:space="preserve">In this study, we </w:t>
      </w:r>
      <w:r w:rsidR="00D81D30">
        <w:rPr>
          <w:rFonts w:ascii="Helvetica" w:hAnsi="Helvetica" w:cs="Arial"/>
          <w:color w:val="000000"/>
        </w:rPr>
        <w:t>focused on determining</w:t>
      </w:r>
      <w:r w:rsidR="00D81D30" w:rsidRPr="001A4B1F">
        <w:rPr>
          <w:rFonts w:ascii="Helvetica" w:hAnsi="Helvetica" w:cs="Arial"/>
          <w:color w:val="000000"/>
        </w:rPr>
        <w:t xml:space="preserve"> whether there is </w:t>
      </w:r>
      <w:r w:rsidR="00D81D30">
        <w:rPr>
          <w:rFonts w:ascii="Helvetica" w:hAnsi="Helvetica" w:cs="Arial"/>
          <w:color w:val="000000"/>
        </w:rPr>
        <w:t xml:space="preserve">a </w:t>
      </w:r>
      <w:r w:rsidR="00D81D30" w:rsidRPr="001A4B1F">
        <w:rPr>
          <w:rFonts w:ascii="Helvetica" w:hAnsi="Helvetica" w:cs="Arial"/>
          <w:color w:val="000000"/>
        </w:rPr>
        <w:t xml:space="preserve">genetic basis for resistance to SSWD in sea stars </w:t>
      </w:r>
      <w:r w:rsidR="00D81D30">
        <w:rPr>
          <w:rFonts w:ascii="Helvetica" w:hAnsi="Helvetica" w:cs="Arial"/>
          <w:color w:val="000000"/>
        </w:rPr>
        <w:t>and</w:t>
      </w:r>
      <w:r w:rsidR="00D81D30" w:rsidRPr="001A4B1F">
        <w:rPr>
          <w:rFonts w:ascii="Helvetica" w:hAnsi="Helvetica" w:cs="Arial"/>
          <w:color w:val="000000"/>
        </w:rPr>
        <w:t xml:space="preserve"> if the microbiomes of the sea stars are responsible for the disease’s progression. </w:t>
      </w:r>
      <w:r w:rsidR="00D81D30">
        <w:rPr>
          <w:rFonts w:ascii="Helvetica" w:hAnsi="Helvetica" w:cs="Arial"/>
          <w:color w:val="000000"/>
        </w:rPr>
        <w:t xml:space="preserve">As expected, we </w:t>
      </w:r>
      <w:r w:rsidR="00AF560E">
        <w:rPr>
          <w:rFonts w:ascii="Helvetica" w:hAnsi="Helvetica" w:cs="Arial"/>
          <w:color w:val="000000"/>
        </w:rPr>
        <w:t>observed</w:t>
      </w:r>
      <w:r w:rsidR="00D81D30" w:rsidRPr="001A4B1F">
        <w:rPr>
          <w:rFonts w:ascii="Helvetica" w:hAnsi="Helvetica" w:cs="Arial"/>
          <w:color w:val="000000"/>
        </w:rPr>
        <w:t xml:space="preserve"> a difference in allele frequencies between healthy and sick individuals at certain distinct </w:t>
      </w:r>
      <w:r w:rsidR="00D81D30">
        <w:rPr>
          <w:rFonts w:ascii="Helvetica" w:hAnsi="Helvetica" w:cs="Arial"/>
          <w:color w:val="000000"/>
        </w:rPr>
        <w:t>loci.</w:t>
      </w:r>
      <w:r w:rsidR="004B1190">
        <w:rPr>
          <w:rFonts w:ascii="Helvetica" w:hAnsi="Helvetica" w:cs="Arial"/>
          <w:color w:val="000000"/>
        </w:rPr>
        <w:t xml:space="preserve"> After running a DAPC analysis on 3 groups based on health status, 11 loci significantly differentiated the groups based on genetic divergence. We could identify 5 of the 11 genes and their GO functions, listed in table 1. Two subsequent proteins, NCL and mutS2, aided in DNA binding and regulation of mismatched strands, respectively </w:t>
      </w:r>
      <w:r w:rsidR="004B1190">
        <w:rPr>
          <w:rFonts w:ascii="Helvetica" w:hAnsi="Helvetica" w:cs="Arial"/>
          <w:color w:val="000000"/>
        </w:rPr>
        <w:fldChar w:fldCharType="begin" w:fldLock="1"/>
      </w:r>
      <w:r w:rsidR="004B1190">
        <w:rPr>
          <w:rFonts w:ascii="Helvetica" w:hAnsi="Helvetica" w:cs="Arial"/>
          <w:color w:val="000000"/>
        </w:rPr>
        <w:instrText>ADDIN CSL_CITATION { "citationItems" : [ { "id" : "ITEM-1", "itemData" : { "DOI" : "10.1093/nar/gkw1099", "abstract" :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 "author" : [ { "dropping-particle" : "", "family" : "Consortium", "given" : "The Uniprot", "non-dropping-particle" : "", "parse-names" : false, "suffix" : "" } ], "container-title" : "Nucleic Acids Research", "id" : "ITEM-1", "issued" : { "date-parts" : [ [ "2017" ] ] }, "title" : "UniProt: the universal protein knowledgebase", "type" : "article-journal", "volume" : "45" }, "uris" : [ "http://www.mendeley.com/documents/?uuid=255754ee-2b36-36ad-8722-acea0659aab5" ] } ], "mendeley" : { "formattedCitation" : "(Consortium, 2017)", "plainTextFormattedCitation" : "(Consortium, 2017)", "previouslyFormattedCitation" : "(Consortium, 2017)" }, "properties" : { "noteIndex" : 0 }, "schema" : "https://github.com/citation-style-language/schema/raw/master/csl-citation.json" }</w:instrText>
      </w:r>
      <w:r w:rsidR="004B1190">
        <w:rPr>
          <w:rFonts w:ascii="Helvetica" w:hAnsi="Helvetica" w:cs="Arial"/>
          <w:color w:val="000000"/>
        </w:rPr>
        <w:fldChar w:fldCharType="separate"/>
      </w:r>
      <w:r w:rsidR="004B1190" w:rsidRPr="004B1190">
        <w:rPr>
          <w:rFonts w:ascii="Helvetica" w:hAnsi="Helvetica" w:cs="Arial"/>
          <w:noProof/>
          <w:color w:val="000000"/>
        </w:rPr>
        <w:t>(Consortium, 2017)</w:t>
      </w:r>
      <w:r w:rsidR="004B1190">
        <w:rPr>
          <w:rFonts w:ascii="Helvetica" w:hAnsi="Helvetica" w:cs="Arial"/>
          <w:color w:val="000000"/>
        </w:rPr>
        <w:fldChar w:fldCharType="end"/>
      </w:r>
      <w:r w:rsidR="004B1190">
        <w:rPr>
          <w:rFonts w:ascii="Helvetica" w:hAnsi="Helvetica" w:cs="Arial"/>
          <w:color w:val="000000"/>
        </w:rPr>
        <w:t xml:space="preserve">. The SMO protein is most likely involved in mediating signal pathways </w:t>
      </w:r>
      <w:r w:rsidR="004B1190">
        <w:rPr>
          <w:rFonts w:ascii="Helvetica" w:hAnsi="Helvetica" w:cs="Arial"/>
          <w:color w:val="000000"/>
        </w:rPr>
        <w:fldChar w:fldCharType="begin" w:fldLock="1"/>
      </w:r>
      <w:r w:rsidR="00C92FD1">
        <w:rPr>
          <w:rFonts w:ascii="Helvetica" w:hAnsi="Helvetica" w:cs="Arial"/>
          <w:color w:val="000000"/>
        </w:rPr>
        <w:instrText>ADDIN CSL_CITATION { "citationItems" : [ { "id" : "ITEM-1", "itemData" : { "DOI" : "10.1093/nar/gkw1099", "abstract" :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 "author" : [ { "dropping-particle" : "", "family" : "Consortium", "given" : "The Uniprot", "non-dropping-particle" : "", "parse-names" : false, "suffix" : "" } ], "container-title" : "Nucleic Acids Research", "id" : "ITEM-1", "issued" : { "date-parts" : [ [ "2017" ] ] }, "title" : "UniProt: the universal protein knowledgebase", "type" : "article-journal", "volume" : "45" }, "uris" : [ "http://www.mendeley.com/documents/?uuid=255754ee-2b36-36ad-8722-acea0659aab5" ] } ], "mendeley" : { "formattedCitation" : "(Consortium, 2017)", "plainTextFormattedCitation" : "(Consortium, 2017)", "previouslyFormattedCitation" : "(Consortium, 2017)" }, "properties" : { "noteIndex" : 0 }, "schema" : "https://github.com/citation-style-language/schema/raw/master/csl-citation.json" }</w:instrText>
      </w:r>
      <w:r w:rsidR="004B1190">
        <w:rPr>
          <w:rFonts w:ascii="Helvetica" w:hAnsi="Helvetica" w:cs="Arial"/>
          <w:color w:val="000000"/>
        </w:rPr>
        <w:fldChar w:fldCharType="separate"/>
      </w:r>
      <w:r w:rsidR="004B1190" w:rsidRPr="004B1190">
        <w:rPr>
          <w:rFonts w:ascii="Helvetica" w:hAnsi="Helvetica" w:cs="Arial"/>
          <w:noProof/>
          <w:color w:val="000000"/>
        </w:rPr>
        <w:t>(Consortium, 2017)</w:t>
      </w:r>
      <w:r w:rsidR="004B1190">
        <w:rPr>
          <w:rFonts w:ascii="Helvetica" w:hAnsi="Helvetica" w:cs="Arial"/>
          <w:color w:val="000000"/>
        </w:rPr>
        <w:fldChar w:fldCharType="end"/>
      </w:r>
      <w:r w:rsidR="004B1190">
        <w:rPr>
          <w:rFonts w:ascii="Helvetica" w:hAnsi="Helvetica" w:cs="Arial"/>
          <w:color w:val="000000"/>
        </w:rPr>
        <w:t xml:space="preserve">. </w:t>
      </w:r>
    </w:p>
    <w:p w14:paraId="1AA616A2" w14:textId="77777777" w:rsidR="00F51FF0" w:rsidRDefault="00F51FF0" w:rsidP="00D93DA5">
      <w:pPr>
        <w:ind w:firstLine="720"/>
        <w:rPr>
          <w:rFonts w:ascii="Helvetica" w:hAnsi="Helvetica" w:cs="Arial"/>
          <w:color w:val="000000"/>
        </w:rPr>
      </w:pPr>
    </w:p>
    <w:p w14:paraId="7ED993AB" w14:textId="46B04C34" w:rsidR="00256190" w:rsidRPr="00256190" w:rsidRDefault="00D81D30" w:rsidP="00256190">
      <w:pPr>
        <w:spacing w:after="240"/>
        <w:ind w:firstLine="720"/>
        <w:rPr>
          <w:rFonts w:ascii="Helvetica" w:eastAsia="Times New Roman" w:hAnsi="Helvetica" w:cs="Times New Roman"/>
        </w:rPr>
      </w:pPr>
      <w:r>
        <w:rPr>
          <w:rFonts w:ascii="Helvetica" w:eastAsia="Times New Roman" w:hAnsi="Helvetica" w:cs="Times New Roman"/>
        </w:rPr>
        <w:t xml:space="preserve">Recent studies on the NAD synthesis enzyme </w:t>
      </w:r>
      <w:r>
        <w:rPr>
          <w:rFonts w:ascii="Helvetica" w:eastAsia="Times New Roman" w:hAnsi="Helvetica" w:cs="Times New Roman"/>
        </w:rPr>
        <w:t>(</w:t>
      </w:r>
      <w:proofErr w:type="spellStart"/>
      <w:r>
        <w:rPr>
          <w:rFonts w:ascii="Helvetica" w:eastAsia="Times New Roman" w:hAnsi="Helvetica" w:cs="Times New Roman"/>
        </w:rPr>
        <w:t>NaMN</w:t>
      </w:r>
      <w:proofErr w:type="spellEnd"/>
      <w:r>
        <w:rPr>
          <w:rFonts w:ascii="Helvetica" w:eastAsia="Times New Roman" w:hAnsi="Helvetica" w:cs="Times New Roman"/>
        </w:rPr>
        <w:t xml:space="preserve">) </w:t>
      </w:r>
      <w:r>
        <w:rPr>
          <w:rFonts w:ascii="Helvetica" w:eastAsia="Times New Roman" w:hAnsi="Helvetica" w:cs="Times New Roman"/>
        </w:rPr>
        <w:t xml:space="preserve">have found a protective function against degeneration arising from injury or misfolded proteins in Drosophila and mammalian neurons </w:t>
      </w:r>
      <w:r>
        <w:rPr>
          <w:rFonts w:ascii="Helvetica" w:eastAsia="Times New Roman" w:hAnsi="Helvetica" w:cs="Times New Roman"/>
        </w:rPr>
        <w:fldChar w:fldCharType="begin" w:fldLock="1"/>
      </w:r>
      <w:r>
        <w:rPr>
          <w:rFonts w:ascii="Helvetica" w:eastAsia="Times New Roman" w:hAnsi="Helvetica" w:cs="Times New Roman"/>
        </w:rPr>
        <w:instrText>ADDIN CSL_CITATION { "citationItems" : [ { "id" : "ITEM-1", "itemData" : { "DOI" : "10.1074/jbc.M111.219295", "ISBN" : "1083-351X (Electronic)\\n0021-9258 (Linking)", "ISSN" : "00219258", "PMID" : "21478149", "abstract" : "Stress responses are cellular processes essential for maintenance of cellular integrity and defense against environmental and intracellular insults. Neurodegenerative conditions are linked with inadequate stress responses. Several stress-responsive genes encoding neuroprotective proteins have been identified, and among them, the heat shock proteins comprise an important group of molecular chaperones that have neuroprotective functions. However, evidence for other critical stress-responsive genes is lacking. Recent studies on the NAD synthesis enzyme nicotinamide mononucleotide adenylyltransferase (NMNAT) have uncovered a novel neuronal maintenance and protective function against activity-, injury-, or misfolded protein-induced degeneration in Drosophila and in mammalian neurons. Here, we show that NMNAT is also a novel stress response protein required for thermotolerance and mitigation of oxidative stress-induced shortened lifespan. NMNAT is transcriptionally regulated during various stress conditions including heat shock and hypoxia through heat shock factor (HSF) and hypoxia-inducible factor 1\u03b1 in vivo. HSF binds to nmnat promoter and induces NMNAT expression under heat shock. In contrast, under hypoxia, HIF1\u03b1 up-regulates NMNAT indirectly through the induction of HSF. Our studies provide an in vivo mechanism for transcriptional regulation of NMNAT under stress and establish an essential role for this neuroprotective factor in cellular stress response.", "author" : [ { "dropping-particle" : "", "family" : "Ali", "given" : "Yousuf O", "non-dropping-particle" : "", "parse-names" : false, "suffix" : "" }, { "dropping-particle" : "", "family" : "McCormack", "given" : "Ryan", "non-dropping-particle" : "", "parse-names" : false, "suffix" : "" }, { "dropping-particle" : "", "family" : "Darrand", "given" : "Andrew", "non-dropping-particle" : "", "parse-names" : false, "suffix" : "" }, { "dropping-particle" : "", "family" : "Zhai", "given" : "R Grace", "non-dropping-particle" : "", "parse-names" : false, "suffix" : "" } ], "container-title" : "Journal of Biological Chemistry", "id" : "ITEM-1", "issue" : "21", "issued" : { "date-parts" : [ [ "2011" ] ] }, "page" : "19089-19099", "title" : "Nicotinamide mononucleotide adenylyltransferase is a stress response protein regulated by the heat shock factor/hypoxia-inducible factor 1?? pathway", "type" : "article-journal", "volume" : "286" }, "uris" : [ "http://www.mendeley.com/documents/?uuid=d7ba876f-eb2e-3910-bd66-9d8f3eb10211" ] } ], "mendeley" : { "formattedCitation" : "(Ali, McCormack, Darrand, &amp; Zhai, 2011)", "plainTextFormattedCitation" : "(Ali, McCormack, Darrand, &amp; Zhai, 2011)", "previouslyFormattedCitation" : "(Ali, McCormack, Darrand, &amp; Zhai, 2011)" }, "properties" : { "noteIndex" : 0 }, "schema" : "https://github.com/citation-style-language/schema/raw/master/csl-citation.json" }</w:instrText>
      </w:r>
      <w:r>
        <w:rPr>
          <w:rFonts w:ascii="Helvetica" w:eastAsia="Times New Roman" w:hAnsi="Helvetica" w:cs="Times New Roman"/>
        </w:rPr>
        <w:fldChar w:fldCharType="separate"/>
      </w:r>
      <w:r w:rsidRPr="00C22707">
        <w:rPr>
          <w:rFonts w:ascii="Helvetica" w:eastAsia="Times New Roman" w:hAnsi="Helvetica" w:cs="Times New Roman"/>
          <w:noProof/>
        </w:rPr>
        <w:t>(Ali, McCormack, Darrand, &amp; Zhai, 2011)</w:t>
      </w:r>
      <w:r>
        <w:rPr>
          <w:rFonts w:ascii="Helvetica" w:eastAsia="Times New Roman" w:hAnsi="Helvetica" w:cs="Times New Roman"/>
        </w:rPr>
        <w:fldChar w:fldCharType="end"/>
      </w:r>
      <w:r>
        <w:rPr>
          <w:rFonts w:ascii="Helvetica" w:eastAsia="Times New Roman" w:hAnsi="Helvetica" w:cs="Times New Roman"/>
        </w:rPr>
        <w:t xml:space="preserve">. This gene has also been identified as a stress response protein that is required for thermotolerance and oxidative stress mitigation </w:t>
      </w:r>
      <w:r>
        <w:rPr>
          <w:rFonts w:ascii="Helvetica" w:eastAsia="Times New Roman" w:hAnsi="Helvetica" w:cs="Times New Roman"/>
        </w:rPr>
        <w:fldChar w:fldCharType="begin" w:fldLock="1"/>
      </w:r>
      <w:r>
        <w:rPr>
          <w:rFonts w:ascii="Helvetica" w:eastAsia="Times New Roman" w:hAnsi="Helvetica" w:cs="Times New Roman"/>
        </w:rPr>
        <w:instrText>ADDIN CSL_CITATION { "citationItems" : [ { "id" : "ITEM-1", "itemData" : { "DOI" : "10.1074/jbc.M111.219295", "ISBN" : "1083-351X (Electronic)\\n0021-9258 (Linking)", "ISSN" : "00219258", "PMID" : "21478149", "abstract" : "Stress responses are cellular processes essential for maintenance of cellular integrity and defense against environmental and intracellular insults. Neurodegenerative conditions are linked with inadequate stress responses. Several stress-responsive genes encoding neuroprotective proteins have been identified, and among them, the heat shock proteins comprise an important group of molecular chaperones that have neuroprotective functions. However, evidence for other critical stress-responsive genes is lacking. Recent studies on the NAD synthesis enzyme nicotinamide mononucleotide adenylyltransferase (NMNAT) have uncovered a novel neuronal maintenance and protective function against activity-, injury-, or misfolded protein-induced degeneration in Drosophila and in mammalian neurons. Here, we show that NMNAT is also a novel stress response protein required for thermotolerance and mitigation of oxidative stress-induced shortened lifespan. NMNAT is transcriptionally regulated during various stress conditions including heat shock and hypoxia through heat shock factor (HSF) and hypoxia-inducible factor 1\u03b1 in vivo. HSF binds to nmnat promoter and induces NMNAT expression under heat shock. In contrast, under hypoxia, HIF1\u03b1 up-regulates NMNAT indirectly through the induction of HSF. Our studies provide an in vivo mechanism for transcriptional regulation of NMNAT under stress and establish an essential role for this neuroprotective factor in cellular stress response.", "author" : [ { "dropping-particle" : "", "family" : "Ali", "given" : "Yousuf O", "non-dropping-particle" : "", "parse-names" : false, "suffix" : "" }, { "dropping-particle" : "", "family" : "McCormack", "given" : "Ryan", "non-dropping-particle" : "", "parse-names" : false, "suffix" : "" }, { "dropping-particle" : "", "family" : "Darrand", "given" : "Andrew", "non-dropping-particle" : "", "parse-names" : false, "suffix" : "" }, { "dropping-particle" : "", "family" : "Zhai", "given" : "R Grace", "non-dropping-particle" : "", "parse-names" : false, "suffix" : "" } ], "container-title" : "Journal of Biological Chemistry", "id" : "ITEM-1", "issue" : "21", "issued" : { "date-parts" : [ [ "2011" ] ] }, "page" : "19089-19099", "title" : "Nicotinamide mononucleotide adenylyltransferase is a stress response protein regulated by the heat shock factor/hypoxia-inducible factor 1?? pathway", "type" : "article-journal", "volume" : "286" }, "uris" : [ "http://www.mendeley.com/documents/?uuid=d7ba876f-eb2e-3910-bd66-9d8f3eb10211" ] } ], "mendeley" : { "formattedCitation" : "(Ali et al., 2011)", "plainTextFormattedCitation" : "(Ali et al., 2011)", "previouslyFormattedCitation" : "(Ali et al., 2011)" }, "properties" : { "noteIndex" : 0 }, "schema" : "https://github.com/citation-style-language/schema/raw/master/csl-citation.json" }</w:instrText>
      </w:r>
      <w:r>
        <w:rPr>
          <w:rFonts w:ascii="Helvetica" w:eastAsia="Times New Roman" w:hAnsi="Helvetica" w:cs="Times New Roman"/>
        </w:rPr>
        <w:fldChar w:fldCharType="separate"/>
      </w:r>
      <w:r w:rsidRPr="00C22707">
        <w:rPr>
          <w:rFonts w:ascii="Helvetica" w:eastAsia="Times New Roman" w:hAnsi="Helvetica" w:cs="Times New Roman"/>
          <w:noProof/>
        </w:rPr>
        <w:t>(Ali et al., 2011)</w:t>
      </w:r>
      <w:r>
        <w:rPr>
          <w:rFonts w:ascii="Helvetica" w:eastAsia="Times New Roman" w:hAnsi="Helvetica" w:cs="Times New Roman"/>
        </w:rPr>
        <w:fldChar w:fldCharType="end"/>
      </w:r>
      <w:r>
        <w:rPr>
          <w:rFonts w:ascii="Helvetica" w:eastAsia="Times New Roman" w:hAnsi="Helvetica" w:cs="Times New Roman"/>
        </w:rPr>
        <w:t>.</w:t>
      </w:r>
      <w:r w:rsidR="00256190">
        <w:rPr>
          <w:rFonts w:ascii="Helvetica" w:eastAsia="Times New Roman" w:hAnsi="Helvetica" w:cs="Times New Roman"/>
        </w:rPr>
        <w:t xml:space="preserve"> </w:t>
      </w:r>
      <w:r w:rsidR="00B747C0">
        <w:rPr>
          <w:rFonts w:ascii="Helvetica" w:eastAsia="Times New Roman" w:hAnsi="Helvetica" w:cs="Times New Roman"/>
        </w:rPr>
        <w:t xml:space="preserve">Testing expression levels of </w:t>
      </w:r>
      <w:proofErr w:type="spellStart"/>
      <w:r w:rsidR="00B747C0">
        <w:rPr>
          <w:rFonts w:ascii="Helvetica" w:eastAsia="Times New Roman" w:hAnsi="Helvetica" w:cs="Times New Roman"/>
        </w:rPr>
        <w:t>NaMN</w:t>
      </w:r>
      <w:proofErr w:type="spellEnd"/>
      <w:r w:rsidR="00B747C0">
        <w:rPr>
          <w:rFonts w:ascii="Helvetica" w:eastAsia="Times New Roman" w:hAnsi="Helvetica" w:cs="Times New Roman"/>
        </w:rPr>
        <w:t xml:space="preserve"> in susceptible and resistant individuals would allow for a greater understanding of the role it plays in SSWD. </w:t>
      </w:r>
      <w:r w:rsidR="00256190">
        <w:rPr>
          <w:rFonts w:ascii="Helvetica" w:eastAsia="Times New Roman" w:hAnsi="Helvetica" w:cs="Times New Roman"/>
        </w:rPr>
        <w:t xml:space="preserve">Delving further into the </w:t>
      </w:r>
      <w:r w:rsidR="00256190">
        <w:rPr>
          <w:rFonts w:ascii="Helvetica" w:eastAsia="Times New Roman" w:hAnsi="Helvetica" w:cs="Times New Roman"/>
        </w:rPr>
        <w:t xml:space="preserve">specific </w:t>
      </w:r>
      <w:r w:rsidR="00256190">
        <w:rPr>
          <w:rFonts w:ascii="Helvetica" w:eastAsia="Times New Roman" w:hAnsi="Helvetica" w:cs="Times New Roman"/>
        </w:rPr>
        <w:t xml:space="preserve">functions of </w:t>
      </w:r>
      <w:proofErr w:type="spellStart"/>
      <w:r w:rsidR="00256190">
        <w:rPr>
          <w:rFonts w:ascii="Helvetica" w:eastAsia="Times New Roman" w:hAnsi="Helvetica" w:cs="Times New Roman"/>
        </w:rPr>
        <w:t>NaMN</w:t>
      </w:r>
      <w:proofErr w:type="spellEnd"/>
      <w:r w:rsidR="00256190">
        <w:rPr>
          <w:rFonts w:ascii="Helvetica" w:eastAsia="Times New Roman" w:hAnsi="Helvetica" w:cs="Times New Roman"/>
        </w:rPr>
        <w:t xml:space="preserve"> in sea stars</w:t>
      </w:r>
      <w:r w:rsidR="00256190">
        <w:rPr>
          <w:rFonts w:ascii="Helvetica" w:eastAsia="Times New Roman" w:hAnsi="Helvetica" w:cs="Times New Roman"/>
        </w:rPr>
        <w:t xml:space="preserve"> is an important next step to find the role it plays in mitigating symptoms caused by SSWD. This result brings up another possible cause of SSWD symptoms because of the connection with environmental stress. </w:t>
      </w:r>
      <w:r w:rsidR="00256190">
        <w:rPr>
          <w:rFonts w:ascii="Helvetica" w:eastAsia="Times New Roman" w:hAnsi="Helvetica" w:cs="Times New Roman"/>
        </w:rPr>
        <w:t xml:space="preserve">Previous studies have shown that warmer ocean temperatures facilitate prevalence of disease symptoms in sea stars </w:t>
      </w:r>
      <w:r w:rsidR="00256190">
        <w:rPr>
          <w:rFonts w:ascii="Helvetica" w:eastAsia="Times New Roman" w:hAnsi="Helvetica" w:cs="Times New Roman"/>
        </w:rPr>
        <w:fldChar w:fldCharType="begin" w:fldLock="1"/>
      </w:r>
      <w:r w:rsidR="00256190">
        <w:rPr>
          <w:rFonts w:ascii="Helvetica" w:eastAsia="Times New Roman" w:hAnsi="Helvetica" w:cs="Times New Roman"/>
        </w:rPr>
        <w:instrText>ADDIN CSL_CITATION { "citationItems" : [ { "id" : "ITEM-1", "itemData" : { "DOI" : "10.1098/rstb.2015.0212", "ISBN" : "1471-2970 (Electronic)\\r0962-8436 (Linking)", "ISSN" : "14712970 09628436", "PMID" : "26880844", "abstract" : "Over 20 species of asteroids were devastated by a sea star wasting disease (SSWD) epizootic, linked to a densovirus, from Mexico to Alaska in 2013 and 2014. For Pisaster ochraceus from the San Juan Islands, South Puget Sound and 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 degrees C treatment compared to the lower temperature treatments. While larger ochre stars developed disease signs sooner than juveniles, diseased juveniles died more quickly than diseased adults. Unusual 2-3 degrees C warm temperature anomalies were coincident with the summer 2014 mortalities. We suggest these warm waters could have increased the disease progression and mortality rates of SSWD in Washington State.", "author" : [ { "dropping-particle" : "", "family" : "Eisenlord", "given" : "Morgan E.", "non-dropping-particle" : "", "parse-names" : false, "suffix" : "" }, { "dropping-particle" : "", "family" : "Groner", "given" : "Maya L.", "non-dropping-particle" : "", "parse-names" : false, "suffix" : "" }, { "dropping-particle" : "", "family" : "Yoshioka", "given" : "Reyn M.", "non-dropping-particle" : "", "parse-names" : false, "suffix" : "" }, { "dropping-particle" : "", "family" : "Elliott", "given" : "Joel", "non-dropping-particle" : "", "parse-names" : false, "suffix" : "" }, { "dropping-particle" : "", "family" : "Maynard", "given" : "Jeffrey", "non-dropping-particle" : "", "parse-names" : false, "suffix" : "" }, { "dropping-particle" : "", "family" : "Fradkin", "given" : "Steven", "non-dropping-particle" : "", "parse-names" : false, "suffix" : "" }, { "dropping-particle" : "", "family" : "Turner", "given" : "Margaret", "non-dropping-particle" : "", "parse-names" : false, "suffix" : "" }, { "dropping-particle" : "", "family" : "Pyne", "given" : "Katie", "non-dropping-particle" : "", "parse-names" : false, "suffix" : "" }, { "dropping-particle" : "", "family" : "Rivlin", "given" : "Natalie", "non-dropping-particle" : "", "parse-names" : false, "suffix" : "" }, { "dropping-particle" : "", "family" : "Hooidonk", "given" : "Ruben", "non-dropping-particle" : "van", "parse-names" : false, "suffix" : "" }, { "dropping-particle" : "", "family" : "Harvell", "given" : "C. Drew", "non-dropping-particle" : "", "parse-names" : false, "suffix" : "" } ], "container-title" : "Philos Trans R Soc Lond B Biol Sci", "id" : "ITEM-1", "issue" : "1689", "issued" : { "date-parts" : [ [ "2016" ] ] }, "title" : "Ochre star mortality during the 2014 wasting disease epizootic: role of population size structure and temperature", "type" : "article-journal", "volume" : "371" }, "uris" : [ "http://www.mendeley.com/documents/?uuid=2812c799-2ff1-3238-904d-d152acf5512b" ] } ], "mendeley" : { "formattedCitation" : "(Eisenlord et al., 2016)", "plainTextFormattedCitation" : "(Eisenlord et al., 2016)", "previouslyFormattedCitation" : "(Eisenlord et al., 2016)" }, "properties" : { "noteIndex" : 0 }, "schema" : "https://github.com/citation-style-language/schema/raw/master/csl-citation.json" }</w:instrText>
      </w:r>
      <w:r w:rsidR="00256190">
        <w:rPr>
          <w:rFonts w:ascii="Helvetica" w:eastAsia="Times New Roman" w:hAnsi="Helvetica" w:cs="Times New Roman"/>
        </w:rPr>
        <w:fldChar w:fldCharType="separate"/>
      </w:r>
      <w:r w:rsidR="00256190" w:rsidRPr="00C92FD1">
        <w:rPr>
          <w:rFonts w:ascii="Helvetica" w:eastAsia="Times New Roman" w:hAnsi="Helvetica" w:cs="Times New Roman"/>
          <w:noProof/>
        </w:rPr>
        <w:t>(Eisenlord et al., 2016)</w:t>
      </w:r>
      <w:r w:rsidR="00256190">
        <w:rPr>
          <w:rFonts w:ascii="Helvetica" w:eastAsia="Times New Roman" w:hAnsi="Helvetica" w:cs="Times New Roman"/>
        </w:rPr>
        <w:fldChar w:fldCharType="end"/>
      </w:r>
      <w:r w:rsidR="00256190">
        <w:rPr>
          <w:rFonts w:ascii="Helvetica" w:eastAsia="Times New Roman" w:hAnsi="Helvetica" w:cs="Times New Roman"/>
        </w:rPr>
        <w:t xml:space="preserve"> so it is possible that sea stars able to mitigate effects of environmental factors such as temperature don’t show symptoms.</w:t>
      </w:r>
      <w:r w:rsidR="00256190">
        <w:rPr>
          <w:rFonts w:ascii="Helvetica" w:eastAsia="Times New Roman" w:hAnsi="Helvetica" w:cs="Times New Roman"/>
        </w:rPr>
        <w:t xml:space="preserve"> To test possible factors, </w:t>
      </w:r>
      <w:r w:rsidR="00145560">
        <w:rPr>
          <w:rFonts w:ascii="Helvetica" w:eastAsia="Times New Roman" w:hAnsi="Helvetica" w:cs="Times New Roman"/>
        </w:rPr>
        <w:t>additional</w:t>
      </w:r>
      <w:r w:rsidR="00256190">
        <w:rPr>
          <w:rFonts w:ascii="Helvetica" w:eastAsia="Times New Roman" w:hAnsi="Helvetica" w:cs="Times New Roman"/>
        </w:rPr>
        <w:t xml:space="preserve"> environmental measurements</w:t>
      </w:r>
      <w:r w:rsidR="000C36D0">
        <w:rPr>
          <w:rFonts w:ascii="Helvetica" w:eastAsia="Times New Roman" w:hAnsi="Helvetica" w:cs="Times New Roman"/>
        </w:rPr>
        <w:t xml:space="preserve"> such as temperature and pH</w:t>
      </w:r>
      <w:r w:rsidR="00256190">
        <w:rPr>
          <w:rFonts w:ascii="Helvetica" w:eastAsia="Times New Roman" w:hAnsi="Helvetica" w:cs="Times New Roman"/>
        </w:rPr>
        <w:t xml:space="preserve"> are needed</w:t>
      </w:r>
      <w:r w:rsidR="00B474D7">
        <w:rPr>
          <w:rFonts w:ascii="Helvetica" w:eastAsia="Times New Roman" w:hAnsi="Helvetica" w:cs="Times New Roman"/>
        </w:rPr>
        <w:t xml:space="preserve"> at collection sites in future studies.</w:t>
      </w:r>
      <w:r w:rsidR="00B747C0">
        <w:rPr>
          <w:rFonts w:ascii="Helvetica" w:eastAsia="Times New Roman" w:hAnsi="Helvetica" w:cs="Times New Roman"/>
        </w:rPr>
        <w:t xml:space="preserve"> </w:t>
      </w:r>
      <w:bookmarkStart w:id="0" w:name="_GoBack"/>
      <w:bookmarkEnd w:id="0"/>
    </w:p>
    <w:p w14:paraId="4E981B7C" w14:textId="650EE74B" w:rsidR="00D81D30" w:rsidRDefault="00D81D30" w:rsidP="00D81D30">
      <w:pPr>
        <w:ind w:firstLine="720"/>
        <w:rPr>
          <w:rFonts w:ascii="Helvetica" w:eastAsia="Times New Roman" w:hAnsi="Helvetica" w:cs="Times New Roman"/>
        </w:rPr>
      </w:pPr>
      <w:r>
        <w:rPr>
          <w:rFonts w:ascii="Helvetica" w:eastAsia="Times New Roman" w:hAnsi="Helvetica" w:cs="Times New Roman"/>
        </w:rPr>
        <w:t xml:space="preserve">Studies on SSB-3 have determined that it functions as a </w:t>
      </w:r>
      <w:r w:rsidR="00E673C7">
        <w:rPr>
          <w:rFonts w:ascii="Helvetica" w:eastAsia="Times New Roman" w:hAnsi="Helvetica" w:cs="Times New Roman"/>
        </w:rPr>
        <w:t>mediator</w:t>
      </w:r>
      <w:r>
        <w:rPr>
          <w:rFonts w:ascii="Helvetica" w:eastAsia="Times New Roman" w:hAnsi="Helvetica" w:cs="Times New Roman"/>
        </w:rPr>
        <w:t xml:space="preserve"> of i</w:t>
      </w:r>
      <w:r w:rsidRPr="000343A2">
        <w:rPr>
          <w:rFonts w:ascii="Helvetica" w:eastAsia="Times New Roman" w:hAnsi="Helvetica" w:cs="Times New Roman"/>
        </w:rPr>
        <w:t>nducible nitric-oxide synthase (</w:t>
      </w:r>
      <w:proofErr w:type="spellStart"/>
      <w:r w:rsidRPr="000343A2">
        <w:rPr>
          <w:rFonts w:ascii="Helvetica" w:eastAsia="Times New Roman" w:hAnsi="Helvetica" w:cs="Times New Roman"/>
        </w:rPr>
        <w:t>iNOS</w:t>
      </w:r>
      <w:proofErr w:type="spellEnd"/>
      <w:r w:rsidRPr="000343A2">
        <w:rPr>
          <w:rFonts w:ascii="Helvetica" w:eastAsia="Times New Roman" w:hAnsi="Helvetica" w:cs="Times New Roman"/>
        </w:rPr>
        <w:t>, NOS2)</w:t>
      </w:r>
      <w:r>
        <w:rPr>
          <w:rFonts w:ascii="Helvetica" w:eastAsia="Times New Roman" w:hAnsi="Helvetica" w:cs="Times New Roman"/>
        </w:rPr>
        <w:t xml:space="preserve"> which is critical in host immune response to pathogenic bacterial infections</w:t>
      </w:r>
      <w:r w:rsidR="00AF57BF">
        <w:rPr>
          <w:rFonts w:ascii="Helvetica" w:eastAsia="Times New Roman" w:hAnsi="Helvetica" w:cs="Times New Roman"/>
        </w:rPr>
        <w:t xml:space="preserve"> </w:t>
      </w:r>
      <w:r w:rsidR="00AF57BF">
        <w:rPr>
          <w:rFonts w:ascii="Helvetica" w:eastAsia="Times New Roman" w:hAnsi="Helvetica" w:cs="Times New Roman"/>
        </w:rPr>
        <w:fldChar w:fldCharType="begin" w:fldLock="1"/>
      </w:r>
      <w:r w:rsidR="00AF57BF">
        <w:rPr>
          <w:rFonts w:ascii="Helvetica" w:eastAsia="Times New Roman" w:hAnsi="Helvetica" w:cs="Times New Roman"/>
        </w:rPr>
        <w:instrText>ADDIN CSL_CITATION { "citationItems" : [ { "id" : "ITEM-1", "itemData" : { "DOI" : "10.1083/jcb.200912087", "ISBN" : "1540-8140 (Electronic)\\r0021-9525 (Linking)", "ISSN" : "00219525", "PMID" : "20603330", "abstract" : "Inducible nitric oxide (NO) synthase (iNOS; NOS2) produces NO and related reactive nitrogen species, which are critical effectors of the innate host response and are required for the intracellular killing of pathogens such as Mycobacterium tuberculosis and Leishmania major. We have identified SPRY domain-containing SOCS (suppressor of cytokine signaling) box protein 2 (SPSB2) as a novel negative regulator that recruits an E3 ubiquitin ligase complex to polyubiquitinate iNOS, resulting in its proteasomal degradation. SPSB2 interacts with the N-terminal region of iNOS via a binding interface on SPSB2 that has been mapped by nuclear magnetic resonance spectroscopy and mutational analyses. SPSB2-deficient macrophages showed prolonged iNOS expression, resulting in a corresponding increase in NO production and enhanced killing of L. major parasites. These results lay the foundation for the development of small molecule inhibitors that could disrupt the SPSB-iNOS interaction and thus prolong the intracellular lifetime of iNOS, which may be beneficial in chronic and persistent infections.", "author" : [ { "dropping-particle" : "", "family" : "Kuang", "given" : "Zhihe", "non-dropping-particle" : "", "parse-names" : false, "suffix" : "" }, { "dropping-particle" : "", "family" : "Lewis", "given" : "Rowena S.", "non-dropping-particle" : "", "parse-names" : false, "suffix" : "" }, { "dropping-particle" : "", "family" : "Curtis", "given" : "Joan M.", "non-dropping-particle" : "", "parse-names" : false, "suffix" : "" }, { "dropping-particle" : "", "family" : "Zhan", "given" : "Yifan", "non-dropping-particle" : "", "parse-names" : false, "suffix" : "" }, { "dropping-particle" : "", "family" : "Saunders", "given" : "Bernadette M.", "non-dropping-particle" : "", "parse-names" : false, "suffix" : "" }, { "dropping-particle" : "", "family" : "Babon", "given" : "Jeffrey J.", "non-dropping-particle" : "", "parse-names" : false, "suffix" : "" }, { "dropping-particle" : "", "family" : "Kolesnik", "given" : "Tatiana B.", "non-dropping-particle" : "", "parse-names" : false, "suffix" : "" }, { "dropping-particle" : "", "family" : "Low", "given" : "Andrew", "non-dropping-particle" : "", "parse-names" : false, "suffix" : "" }, { "dropping-particle" : "", "family" : "Masters", "given" : "Seth L.", "non-dropping-particle" : "", "parse-names" : false, "suffix" : "" }, { "dropping-particle" : "", "family" : "Willson", "given" : "Tracy A.", "non-dropping-particle" : "", "parse-names" : false, "suffix" : "" }, { "dropping-particle" : "", "family" : "Kedzierski", "given" : "Lukasz", "non-dropping-particle" : "", "parse-names" : false, "suffix" : "" }, { "dropping-particle" : "", "family" : "Yao", "given" : "Shenggen", "non-dropping-particle" : "", "parse-names" : false, "suffix" : "" }, { "dropping-particle" : "", "family" : "Handman", "given" : "Emanuela", "non-dropping-particle" : "", "parse-names" : false, "suffix" : "" }, { "dropping-particle" : "", "family" : "Norton", "given" : "Raymond S.", "non-dropping-particle" : "", "parse-names" : false, "suffix" : "" }, { "dropping-particle" : "", "family" : "Nicholson", "given" : "Sandra E.", "non-dropping-particle" : "", "parse-names" : false, "suffix" : "" } ], "container-title" : "Journal of Cell Biology", "id" : "ITEM-1", "issue" : "1", "issued" : { "date-parts" : [ [ "2010" ] ] }, "page" : "129-141", "title" : "The SPRY domain-containing SOCS box protein SPSB2 targets iNOS for proteasomal degradation", "type" : "article-journal", "volume" : "190" }, "uris" : [ "http://www.mendeley.com/documents/?uuid=6b3d839c-95e5-3ce3-ad8a-94303ff0e6e3" ] }, { "id" : "ITEM-2", "itemData" : { "DOI" : "10.1074/jbc.M110.190678", "ISBN" : "1083-351X (Electronic)\\r0021-9258 (Linking)", "ISSN" : "00219258", "PMID" : "21199876", "abstract" : "Inducible nitric-oxide synthase (iNOS, NOS2) plays a prominent role in macrophage bactericidal and tumoricidal activities. A relatively large amount of NO produced via iNOS, however, also targets the macrophage itself for apoptotic cell death. To uncover the intrinsic mechanisms of iNOS regulation, we have characterized the SPRY domain- and SOCS box-containing protein 1 (SPSB1), SPSB2, and SPSB4 that interact with the N-terminal region of iNOS in a D-I-N-N-N sequence-dependent manner. Fluorescence microscopy revealed that these SPSB proteins can induce the subcellular redistribution of iNOS from dense regions to diffused expression in a SOCS box-dependent manner. In immunoprecipitation studies, both Elongin C and Cullin-5, components of the multi-subunit E3 ubiquitin ligase, were found to bind to iNOS via SPSB1, SPSB2, or SPSB4. Consistently, iNOS was polyubiquitinated and degraded in a proteasome-dependent manner when SPSB1, SPSB2, or SPSB4 was expressed. SPSB1 and SPSB4 had a greater effect on iNOS regulation than SPSB2. The iNOS N-terminal fragment (residues 1-124 of human iNOS) could disrupt iNOS-SPSB interactions and inhibit iNOS degradation. In lipopolysaccharide-treated macrophages, this fragment attenuated iNOS ubiquitination and substantially prolonged iNOS lifetime, resulting in a corresponding increase in NO production and enhanced NO-dependent cell death. These results not only demonstrate the mechanism of SPSB-mediated iNOS degradation and the relative contributions of different SPSB proteins to iNOS regulation, but also show that iNOS levels are sophisticatedly regulated by SPSB proteins in activated macrophages to prevent overproduction of NO that could trigger detrimental effects, such as cytotoxicity.", "author" : [ { "dropping-particle" : "", "family" : "Nishiya", "given" : "Tadashi", "non-dropping-particle" : "", "parse-names" : false, "suffix" : "" }, { "dropping-particle" : "", "family" : "Matsumoto", "given" : "Kazuma", "non-dropping-particle" : "", "parse-names" : false, "suffix" : "" }, { "dropping-particle" : "", "family" : "Maekawa", "given" : "Satoshi", "non-dropping-particle" : "", "parse-names" : false, "suffix" : "" }, { "dropping-particle" : "", "family" : "Kajita", "given" : "Emi", "non-dropping-particle" : "", "parse-names" : false, "suffix" : "" }, { "dropping-particle" : "", "family" : "Horinouchi", "given" : "Takahiro", "non-dropping-particle" : "", "parse-names" : false, "suffix" : "" }, { "dropping-particle" : "", "family" : "Fujimuro", "given" : "Masahiro", "non-dropping-particle" : "", "parse-names" : false, "suffix" : "" }, { "dropping-particle" : "", "family" : "Ogasawara", "given" : "Kouetsu", "non-dropping-particle" : "", "parse-names" : false, "suffix" : "" }, { "dropping-particle" : "", "family" : "Uehara", "given" : "Takashi", "non-dropping-particle" : "", "parse-names" : false, "suffix" : "" }, { "dropping-particle" : "", "family" : "Miwa", "given" : "Soichi", "non-dropping-particle" : "", "parse-names" : false, "suffix" : "" } ], "container-title" : "Journal of Biological Chemistry", "id" : "ITEM-2", "issue" : "11", "issued" : { "date-parts" : [ [ "2011" ] ] }, "page" : "9009-9019", "title" : "Regulation of inducible nitric-oxide synthase by the SPRY domain- and SOCS box-containing proteins", "type" : "article-journal", "volume" : "286" }, "uris" : [ "http://www.mendeley.com/documents/?uuid=eeb2e1e2-47a6-3992-8c39-680828998d81" ] } ], "mendeley" : { "formattedCitation" : "(Kuang et al., 2010; Nishiya et al., 2011)", "plainTextFormattedCitation" : "(Kuang et al., 2010; Nishiya et al., 2011)" }, "properties" : { "noteIndex" : 0 }, "schema" : "https://github.com/citation-style-language/schema/raw/master/csl-citation.json" }</w:instrText>
      </w:r>
      <w:r w:rsidR="00AF57BF">
        <w:rPr>
          <w:rFonts w:ascii="Helvetica" w:eastAsia="Times New Roman" w:hAnsi="Helvetica" w:cs="Times New Roman"/>
        </w:rPr>
        <w:fldChar w:fldCharType="separate"/>
      </w:r>
      <w:r w:rsidR="00AF57BF" w:rsidRPr="00AF57BF">
        <w:rPr>
          <w:rFonts w:ascii="Helvetica" w:eastAsia="Times New Roman" w:hAnsi="Helvetica" w:cs="Times New Roman"/>
          <w:noProof/>
        </w:rPr>
        <w:t>(Kuang et al., 2010; Nishiya et al., 2011)</w:t>
      </w:r>
      <w:r w:rsidR="00AF57BF">
        <w:rPr>
          <w:rFonts w:ascii="Helvetica" w:eastAsia="Times New Roman" w:hAnsi="Helvetica" w:cs="Times New Roman"/>
        </w:rPr>
        <w:fldChar w:fldCharType="end"/>
      </w:r>
      <w:r>
        <w:rPr>
          <w:rFonts w:ascii="Helvetica" w:eastAsia="Times New Roman" w:hAnsi="Helvetica" w:cs="Times New Roman"/>
        </w:rPr>
        <w:t>.</w:t>
      </w:r>
      <w:r w:rsidR="00AF57BF">
        <w:rPr>
          <w:rFonts w:ascii="Helvetica" w:eastAsia="Times New Roman" w:hAnsi="Helvetica" w:cs="Times New Roman"/>
        </w:rPr>
        <w:t xml:space="preserve"> The SSB-3 protein </w:t>
      </w:r>
      <w:r w:rsidR="00E673C7">
        <w:rPr>
          <w:rFonts w:ascii="Helvetica" w:eastAsia="Times New Roman" w:hAnsi="Helvetica" w:cs="Times New Roman"/>
        </w:rPr>
        <w:t xml:space="preserve">not only facilitates production of NO via </w:t>
      </w:r>
      <w:proofErr w:type="spellStart"/>
      <w:r w:rsidR="00E673C7">
        <w:rPr>
          <w:rFonts w:ascii="Helvetica" w:eastAsia="Times New Roman" w:hAnsi="Helvetica" w:cs="Times New Roman"/>
        </w:rPr>
        <w:t>iNOS</w:t>
      </w:r>
      <w:proofErr w:type="spellEnd"/>
      <w:r w:rsidR="00E673C7">
        <w:rPr>
          <w:rFonts w:ascii="Helvetica" w:eastAsia="Times New Roman" w:hAnsi="Helvetica" w:cs="Times New Roman"/>
        </w:rPr>
        <w:t xml:space="preserve">, it also specifically regulates NO to prevent over-production of NO that could potentially trigger intracellular cytotoxicity within the organism. </w:t>
      </w:r>
      <w:r w:rsidR="00AF560E">
        <w:rPr>
          <w:rFonts w:ascii="Helvetica" w:eastAsia="Times New Roman" w:hAnsi="Helvetica" w:cs="Times New Roman"/>
        </w:rPr>
        <w:t xml:space="preserve">Perhaps this gene has implications for resistance to SSWD such that individuals lacking a </w:t>
      </w:r>
      <w:proofErr w:type="gramStart"/>
      <w:r w:rsidR="00AF560E">
        <w:rPr>
          <w:rFonts w:ascii="Helvetica" w:eastAsia="Times New Roman" w:hAnsi="Helvetica" w:cs="Times New Roman"/>
        </w:rPr>
        <w:t>particular allele</w:t>
      </w:r>
      <w:proofErr w:type="gramEnd"/>
      <w:r w:rsidR="00AF560E">
        <w:rPr>
          <w:rFonts w:ascii="Helvetica" w:eastAsia="Times New Roman" w:hAnsi="Helvetica" w:cs="Times New Roman"/>
        </w:rPr>
        <w:t xml:space="preserve"> may not</w:t>
      </w:r>
      <w:r w:rsidR="00D93DA5">
        <w:rPr>
          <w:rFonts w:ascii="Helvetica" w:eastAsia="Times New Roman" w:hAnsi="Helvetica" w:cs="Times New Roman"/>
        </w:rPr>
        <w:t xml:space="preserve"> be</w:t>
      </w:r>
      <w:r w:rsidR="00AF560E">
        <w:rPr>
          <w:rFonts w:ascii="Helvetica" w:eastAsia="Times New Roman" w:hAnsi="Helvetica" w:cs="Times New Roman"/>
        </w:rPr>
        <w:t xml:space="preserve"> capable of the immune response necessary to survive the pathogen.</w:t>
      </w:r>
      <w:r w:rsidR="00240839">
        <w:rPr>
          <w:rFonts w:ascii="Helvetica" w:eastAsia="Times New Roman" w:hAnsi="Helvetica" w:cs="Times New Roman"/>
        </w:rPr>
        <w:t xml:space="preserve"> </w:t>
      </w:r>
      <w:r w:rsidR="00863A6A">
        <w:rPr>
          <w:rFonts w:ascii="Helvetica" w:eastAsia="Times New Roman" w:hAnsi="Helvetica" w:cs="Times New Roman"/>
        </w:rPr>
        <w:t xml:space="preserve">Future studies should focus on the </w:t>
      </w:r>
      <w:r w:rsidR="007F1C1D">
        <w:rPr>
          <w:rFonts w:ascii="Helvetica" w:eastAsia="Times New Roman" w:hAnsi="Helvetica" w:cs="Times New Roman"/>
        </w:rPr>
        <w:t>function of SSB-3 in sea stars and its relation to immune response in echinoderms. Experimental studies with symptomatic and asymptomatic individuals harboring differing alleles of the SSB-gene should be performed to understand the role SSB-3 might play in resistance to SSWD.</w:t>
      </w:r>
      <w:r w:rsidR="009C2AEA">
        <w:rPr>
          <w:rFonts w:ascii="Helvetica" w:eastAsia="Times New Roman" w:hAnsi="Helvetica" w:cs="Times New Roman"/>
        </w:rPr>
        <w:t xml:space="preserve"> Moreover, expression of SSB-3 should be studied in the context of SSWD. Perhaps resistant individuals can up-regulate SSB-3 upon infection with greater efficiency than susceptible individuals. </w:t>
      </w:r>
    </w:p>
    <w:p w14:paraId="2E6C455E" w14:textId="77777777" w:rsidR="00686831" w:rsidRDefault="00686831" w:rsidP="00D81D30">
      <w:pPr>
        <w:ind w:firstLine="720"/>
        <w:rPr>
          <w:rFonts w:ascii="Helvetica" w:eastAsia="Times New Roman" w:hAnsi="Helvetica" w:cs="Times New Roman"/>
        </w:rPr>
      </w:pPr>
    </w:p>
    <w:p w14:paraId="10C55BE6" w14:textId="5033032A" w:rsidR="00A75D3E" w:rsidRDefault="009A6A19" w:rsidP="00A60CF4">
      <w:pPr>
        <w:ind w:firstLine="720"/>
        <w:rPr>
          <w:rFonts w:ascii="Helvetica" w:eastAsia="Times New Roman" w:hAnsi="Helvetica" w:cs="Times New Roman"/>
        </w:rPr>
      </w:pPr>
      <w:r>
        <w:rPr>
          <w:rFonts w:ascii="Helvetica" w:eastAsia="Times New Roman" w:hAnsi="Helvetica" w:cs="Times New Roman"/>
        </w:rPr>
        <w:t>The cause of SSWD remains unknown</w:t>
      </w:r>
      <w:r w:rsidR="00686831">
        <w:rPr>
          <w:rFonts w:ascii="Helvetica" w:eastAsia="Times New Roman" w:hAnsi="Helvetica" w:cs="Times New Roman"/>
        </w:rPr>
        <w:t xml:space="preserve"> </w:t>
      </w:r>
      <w:r w:rsidR="0025604F">
        <w:rPr>
          <w:rFonts w:ascii="Helvetica" w:eastAsia="Times New Roman" w:hAnsi="Helvetica" w:cs="Times New Roman"/>
        </w:rPr>
        <w:t>and we have man</w:t>
      </w:r>
      <w:r w:rsidR="00FE2256">
        <w:rPr>
          <w:rFonts w:ascii="Helvetica" w:eastAsia="Times New Roman" w:hAnsi="Helvetica" w:cs="Times New Roman"/>
        </w:rPr>
        <w:t xml:space="preserve">y knowledge gaps to fill </w:t>
      </w:r>
      <w:r w:rsidR="00B25A0A">
        <w:rPr>
          <w:rFonts w:ascii="Helvetica" w:eastAsia="Times New Roman" w:hAnsi="Helvetica" w:cs="Times New Roman"/>
        </w:rPr>
        <w:t xml:space="preserve">regarding this deadly outbreak and the mechanisms that facilitate it. </w:t>
      </w:r>
      <w:r w:rsidR="00806867">
        <w:rPr>
          <w:rFonts w:ascii="Helvetica" w:eastAsia="Times New Roman" w:hAnsi="Helvetica" w:cs="Times New Roman"/>
        </w:rPr>
        <w:t>In this study, we observed</w:t>
      </w:r>
      <w:r w:rsidR="00256190">
        <w:rPr>
          <w:rFonts w:ascii="Helvetica" w:eastAsia="Times New Roman" w:hAnsi="Helvetica" w:cs="Times New Roman"/>
        </w:rPr>
        <w:t xml:space="preserve"> differential allele frequencies</w:t>
      </w:r>
      <w:r w:rsidR="00806867">
        <w:rPr>
          <w:rFonts w:ascii="Helvetica" w:eastAsia="Times New Roman" w:hAnsi="Helvetica" w:cs="Times New Roman"/>
        </w:rPr>
        <w:t xml:space="preserve"> in 11 specific loci between sick and healthy individuals in the intertidal zone of Monterey, CA. To confirm the association of these genes with resistance or susceptibility to SSWD, it would be helpful to replicate this study in other </w:t>
      </w:r>
      <w:r w:rsidR="00806867" w:rsidRPr="00806867">
        <w:rPr>
          <w:rFonts w:ascii="Helvetica" w:eastAsia="Times New Roman" w:hAnsi="Helvetica" w:cs="Times New Roman"/>
          <w:i/>
        </w:rPr>
        <w:t xml:space="preserve">P. </w:t>
      </w:r>
      <w:proofErr w:type="spellStart"/>
      <w:r w:rsidR="00806867" w:rsidRPr="00806867">
        <w:rPr>
          <w:rFonts w:ascii="Helvetica" w:eastAsia="Times New Roman" w:hAnsi="Helvetica" w:cs="Times New Roman"/>
          <w:i/>
        </w:rPr>
        <w:t>ochraceus</w:t>
      </w:r>
      <w:proofErr w:type="spellEnd"/>
      <w:r w:rsidR="00A60CF4">
        <w:rPr>
          <w:rFonts w:ascii="Helvetica" w:eastAsia="Times New Roman" w:hAnsi="Helvetica" w:cs="Times New Roman"/>
        </w:rPr>
        <w:t xml:space="preserve"> populations to demonstrate a trend</w:t>
      </w:r>
      <w:r w:rsidR="00806867">
        <w:rPr>
          <w:rFonts w:ascii="Helvetica" w:eastAsia="Times New Roman" w:hAnsi="Helvetica" w:cs="Times New Roman"/>
        </w:rPr>
        <w:t>. If other populations exhibited the same or similar gene discrepancies, it could infer genetic resistance or immunity to the pathogen.</w:t>
      </w:r>
      <w:r w:rsidR="00A60CF4">
        <w:rPr>
          <w:rFonts w:ascii="Helvetica" w:eastAsia="Times New Roman" w:hAnsi="Helvetica" w:cs="Times New Roman"/>
        </w:rPr>
        <w:t xml:space="preserve"> If the same genes are found in allele frequency tests, this would suggest that they were related to (or linked to genes that were related to) pathogen resistance.</w:t>
      </w:r>
      <w:r w:rsidR="00806867">
        <w:rPr>
          <w:rFonts w:ascii="Helvetica" w:eastAsia="Times New Roman" w:hAnsi="Helvetica" w:cs="Times New Roman"/>
        </w:rPr>
        <w:t xml:space="preserve"> If this was the case, implications for management</w:t>
      </w:r>
      <w:r w:rsidR="00A60CF4">
        <w:rPr>
          <w:rFonts w:ascii="Helvetica" w:eastAsia="Times New Roman" w:hAnsi="Helvetica" w:cs="Times New Roman"/>
        </w:rPr>
        <w:t xml:space="preserve"> of the pathogen</w:t>
      </w:r>
      <w:r w:rsidR="00806867">
        <w:rPr>
          <w:rFonts w:ascii="Helvetica" w:eastAsia="Times New Roman" w:hAnsi="Helvetica" w:cs="Times New Roman"/>
        </w:rPr>
        <w:t xml:space="preserve"> would be vast, including a large</w:t>
      </w:r>
      <w:r w:rsidR="00A60CF4">
        <w:rPr>
          <w:rFonts w:ascii="Helvetica" w:eastAsia="Times New Roman" w:hAnsi="Helvetica" w:cs="Times New Roman"/>
        </w:rPr>
        <w:t>-scale</w:t>
      </w:r>
      <w:r w:rsidR="00806867">
        <w:rPr>
          <w:rFonts w:ascii="Helvetica" w:eastAsia="Times New Roman" w:hAnsi="Helvetica" w:cs="Times New Roman"/>
        </w:rPr>
        <w:t xml:space="preserve"> restoration </w:t>
      </w:r>
      <w:r w:rsidR="00A60CF4">
        <w:rPr>
          <w:rFonts w:ascii="Helvetica" w:eastAsia="Times New Roman" w:hAnsi="Helvetica" w:cs="Times New Roman"/>
        </w:rPr>
        <w:t xml:space="preserve">project using individuals harboring resistant alleles. It would be </w:t>
      </w:r>
      <w:r w:rsidR="00256190">
        <w:rPr>
          <w:rFonts w:ascii="Helvetica" w:eastAsia="Times New Roman" w:hAnsi="Helvetica" w:cs="Times New Roman"/>
        </w:rPr>
        <w:t>useful</w:t>
      </w:r>
      <w:r w:rsidR="00A60CF4">
        <w:rPr>
          <w:rFonts w:ascii="Helvetica" w:eastAsia="Times New Roman" w:hAnsi="Helvetica" w:cs="Times New Roman"/>
        </w:rPr>
        <w:t xml:space="preserve"> to replicate this study in populations of unaffected </w:t>
      </w:r>
      <w:r w:rsidR="00A60CF4" w:rsidRPr="00A60CF4">
        <w:rPr>
          <w:rFonts w:ascii="Helvetica" w:eastAsia="Times New Roman" w:hAnsi="Helvetica" w:cs="Times New Roman"/>
          <w:i/>
        </w:rPr>
        <w:t xml:space="preserve">P. </w:t>
      </w:r>
      <w:proofErr w:type="spellStart"/>
      <w:r w:rsidR="00A60CF4" w:rsidRPr="00A60CF4">
        <w:rPr>
          <w:rFonts w:ascii="Helvetica" w:eastAsia="Times New Roman" w:hAnsi="Helvetica" w:cs="Times New Roman"/>
          <w:i/>
        </w:rPr>
        <w:t>ochraceus</w:t>
      </w:r>
      <w:proofErr w:type="spellEnd"/>
      <w:r w:rsidR="00A60CF4">
        <w:rPr>
          <w:rFonts w:ascii="Helvetica" w:eastAsia="Times New Roman" w:hAnsi="Helvetica" w:cs="Times New Roman"/>
        </w:rPr>
        <w:t xml:space="preserve"> to better understand the possible roles of resistant genes to this pathogen.</w:t>
      </w:r>
      <w:r w:rsidR="00256190">
        <w:rPr>
          <w:rFonts w:ascii="Helvetica" w:eastAsia="Times New Roman" w:hAnsi="Helvetica" w:cs="Times New Roman"/>
        </w:rPr>
        <w:t xml:space="preserve"> Moreover, larger sample sizes would better display significant results and give us a clearer picture of the roles of genes here. </w:t>
      </w:r>
    </w:p>
    <w:p w14:paraId="492778A4" w14:textId="77777777" w:rsidR="00FF48EF" w:rsidRDefault="00FF48EF" w:rsidP="00A60CF4">
      <w:pPr>
        <w:ind w:firstLine="720"/>
        <w:rPr>
          <w:rFonts w:ascii="Helvetica" w:eastAsia="Times New Roman" w:hAnsi="Helvetica" w:cs="Times New Roman"/>
        </w:rPr>
      </w:pPr>
    </w:p>
    <w:p w14:paraId="426517AB" w14:textId="77777777" w:rsidR="00A75D3E" w:rsidRDefault="00A75D3E">
      <w:pPr>
        <w:rPr>
          <w:rFonts w:ascii="Helvetica" w:hAnsi="Helvetica"/>
        </w:rPr>
      </w:pPr>
    </w:p>
    <w:p w14:paraId="366BD0BB" w14:textId="4EC3A4CC" w:rsidR="00C92FD1" w:rsidRDefault="00806867" w:rsidP="00A75D3E">
      <w:pPr>
        <w:pStyle w:val="ListParagraph"/>
        <w:numPr>
          <w:ilvl w:val="0"/>
          <w:numId w:val="1"/>
        </w:numPr>
        <w:rPr>
          <w:rFonts w:ascii="Helvetica" w:hAnsi="Helvetica"/>
        </w:rPr>
      </w:pPr>
      <w:r>
        <w:rPr>
          <w:rFonts w:ascii="Helvetica" w:hAnsi="Helvetica"/>
        </w:rPr>
        <w:t>Differentially expressed (</w:t>
      </w:r>
      <w:r w:rsidR="00C92FD1">
        <w:rPr>
          <w:rFonts w:ascii="Helvetica" w:hAnsi="Helvetica"/>
        </w:rPr>
        <w:t>Up regulated and down regulated</w:t>
      </w:r>
      <w:r>
        <w:rPr>
          <w:rFonts w:ascii="Helvetica" w:hAnsi="Helvetica"/>
        </w:rPr>
        <w:t>)</w:t>
      </w:r>
      <w:r w:rsidR="00C92FD1">
        <w:rPr>
          <w:rFonts w:ascii="Helvetica" w:hAnsi="Helvetica"/>
        </w:rPr>
        <w:t xml:space="preserve"> genes </w:t>
      </w:r>
      <w:proofErr w:type="gramStart"/>
      <w:r w:rsidR="00C92FD1">
        <w:rPr>
          <w:rFonts w:ascii="Helvetica" w:hAnsi="Helvetica"/>
        </w:rPr>
        <w:t>similar to</w:t>
      </w:r>
      <w:proofErr w:type="gramEnd"/>
      <w:r w:rsidR="00C92FD1">
        <w:rPr>
          <w:rFonts w:ascii="Helvetica" w:hAnsi="Helvetica"/>
        </w:rPr>
        <w:t xml:space="preserve"> these?</w:t>
      </w:r>
    </w:p>
    <w:p w14:paraId="76985D89" w14:textId="677C80F6" w:rsidR="00F51FF0" w:rsidRPr="00A75D3E" w:rsidRDefault="00F51FF0" w:rsidP="00A75D3E">
      <w:pPr>
        <w:pStyle w:val="ListParagraph"/>
        <w:numPr>
          <w:ilvl w:val="0"/>
          <w:numId w:val="1"/>
        </w:numPr>
        <w:rPr>
          <w:rFonts w:ascii="Helvetica" w:hAnsi="Helvetica"/>
        </w:rPr>
      </w:pPr>
      <w:r>
        <w:rPr>
          <w:rFonts w:ascii="Helvetica" w:hAnsi="Helvetica"/>
        </w:rPr>
        <w:t>Maybe it’s not a disease per se but the effects of environmental factors</w:t>
      </w:r>
      <w:r w:rsidR="00686831">
        <w:rPr>
          <w:rFonts w:ascii="Helvetica" w:hAnsi="Helvetica"/>
        </w:rPr>
        <w:t xml:space="preserve"> or a suite of pathogens</w:t>
      </w:r>
      <w:r>
        <w:rPr>
          <w:rFonts w:ascii="Helvetica" w:hAnsi="Helvetica"/>
        </w:rPr>
        <w:t>.</w:t>
      </w:r>
    </w:p>
    <w:sectPr w:rsidR="00F51FF0" w:rsidRPr="00A75D3E" w:rsidSect="0032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7F04"/>
    <w:multiLevelType w:val="hybridMultilevel"/>
    <w:tmpl w:val="C8BA1DF2"/>
    <w:lvl w:ilvl="0" w:tplc="82F67818">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CF"/>
    <w:rsid w:val="00005EB7"/>
    <w:rsid w:val="00016140"/>
    <w:rsid w:val="00016432"/>
    <w:rsid w:val="00020EAB"/>
    <w:rsid w:val="000343A2"/>
    <w:rsid w:val="000377EF"/>
    <w:rsid w:val="000B50EC"/>
    <w:rsid w:val="000C2908"/>
    <w:rsid w:val="000C36D0"/>
    <w:rsid w:val="00106FC0"/>
    <w:rsid w:val="00145560"/>
    <w:rsid w:val="00164511"/>
    <w:rsid w:val="001854E8"/>
    <w:rsid w:val="001A4B1F"/>
    <w:rsid w:val="001C1E11"/>
    <w:rsid w:val="001C46E7"/>
    <w:rsid w:val="002330AC"/>
    <w:rsid w:val="00240839"/>
    <w:rsid w:val="0025604F"/>
    <w:rsid w:val="00256190"/>
    <w:rsid w:val="0027185C"/>
    <w:rsid w:val="002A0481"/>
    <w:rsid w:val="002C18D7"/>
    <w:rsid w:val="002E1CB1"/>
    <w:rsid w:val="002E7F70"/>
    <w:rsid w:val="003172B1"/>
    <w:rsid w:val="003235CB"/>
    <w:rsid w:val="0036034C"/>
    <w:rsid w:val="00360A54"/>
    <w:rsid w:val="00367250"/>
    <w:rsid w:val="003803C2"/>
    <w:rsid w:val="003828E4"/>
    <w:rsid w:val="00390922"/>
    <w:rsid w:val="003E69B9"/>
    <w:rsid w:val="003F2457"/>
    <w:rsid w:val="003F380D"/>
    <w:rsid w:val="003F5EB5"/>
    <w:rsid w:val="004107E0"/>
    <w:rsid w:val="00436BE6"/>
    <w:rsid w:val="00455C94"/>
    <w:rsid w:val="004810A9"/>
    <w:rsid w:val="00486FAC"/>
    <w:rsid w:val="004B1190"/>
    <w:rsid w:val="004E4F66"/>
    <w:rsid w:val="004F598E"/>
    <w:rsid w:val="005124EF"/>
    <w:rsid w:val="0054280E"/>
    <w:rsid w:val="00550F7C"/>
    <w:rsid w:val="00561DCE"/>
    <w:rsid w:val="00562A7B"/>
    <w:rsid w:val="00574A8C"/>
    <w:rsid w:val="005F7C7A"/>
    <w:rsid w:val="00605CA9"/>
    <w:rsid w:val="00651E6A"/>
    <w:rsid w:val="00683419"/>
    <w:rsid w:val="00686831"/>
    <w:rsid w:val="006C2887"/>
    <w:rsid w:val="006D358A"/>
    <w:rsid w:val="006D6439"/>
    <w:rsid w:val="00716CE4"/>
    <w:rsid w:val="00757C2E"/>
    <w:rsid w:val="00767457"/>
    <w:rsid w:val="007834D1"/>
    <w:rsid w:val="007A39B3"/>
    <w:rsid w:val="007F1C1D"/>
    <w:rsid w:val="00806867"/>
    <w:rsid w:val="0081260C"/>
    <w:rsid w:val="00836581"/>
    <w:rsid w:val="00861A30"/>
    <w:rsid w:val="00863A6A"/>
    <w:rsid w:val="008D12EA"/>
    <w:rsid w:val="008F2F7F"/>
    <w:rsid w:val="00962278"/>
    <w:rsid w:val="009A6A19"/>
    <w:rsid w:val="009B3F0A"/>
    <w:rsid w:val="009C1515"/>
    <w:rsid w:val="009C2AEA"/>
    <w:rsid w:val="009D3048"/>
    <w:rsid w:val="009F06D2"/>
    <w:rsid w:val="00A14286"/>
    <w:rsid w:val="00A22496"/>
    <w:rsid w:val="00A2405C"/>
    <w:rsid w:val="00A473C4"/>
    <w:rsid w:val="00A53FCD"/>
    <w:rsid w:val="00A60CF4"/>
    <w:rsid w:val="00A66970"/>
    <w:rsid w:val="00A75D3E"/>
    <w:rsid w:val="00A95C11"/>
    <w:rsid w:val="00AA1878"/>
    <w:rsid w:val="00AA3F06"/>
    <w:rsid w:val="00AB48E3"/>
    <w:rsid w:val="00AE141E"/>
    <w:rsid w:val="00AF560E"/>
    <w:rsid w:val="00AF57BF"/>
    <w:rsid w:val="00B01FFA"/>
    <w:rsid w:val="00B1153E"/>
    <w:rsid w:val="00B25A0A"/>
    <w:rsid w:val="00B474D7"/>
    <w:rsid w:val="00B7319C"/>
    <w:rsid w:val="00B747C0"/>
    <w:rsid w:val="00B83780"/>
    <w:rsid w:val="00B910C4"/>
    <w:rsid w:val="00BC0E09"/>
    <w:rsid w:val="00BF393B"/>
    <w:rsid w:val="00C103F9"/>
    <w:rsid w:val="00C22707"/>
    <w:rsid w:val="00C27DC8"/>
    <w:rsid w:val="00C80556"/>
    <w:rsid w:val="00C80D71"/>
    <w:rsid w:val="00C92FD1"/>
    <w:rsid w:val="00CA75DA"/>
    <w:rsid w:val="00CB0BB0"/>
    <w:rsid w:val="00CD4268"/>
    <w:rsid w:val="00CE62BF"/>
    <w:rsid w:val="00CF181D"/>
    <w:rsid w:val="00D27058"/>
    <w:rsid w:val="00D415DF"/>
    <w:rsid w:val="00D5670D"/>
    <w:rsid w:val="00D706E7"/>
    <w:rsid w:val="00D81D30"/>
    <w:rsid w:val="00D839E6"/>
    <w:rsid w:val="00D93DA5"/>
    <w:rsid w:val="00DC269A"/>
    <w:rsid w:val="00DC2E5F"/>
    <w:rsid w:val="00DC40E0"/>
    <w:rsid w:val="00DD5B68"/>
    <w:rsid w:val="00E114DC"/>
    <w:rsid w:val="00E15412"/>
    <w:rsid w:val="00E3183B"/>
    <w:rsid w:val="00E673C7"/>
    <w:rsid w:val="00E713BF"/>
    <w:rsid w:val="00E779F4"/>
    <w:rsid w:val="00E864A0"/>
    <w:rsid w:val="00E96565"/>
    <w:rsid w:val="00EB5C01"/>
    <w:rsid w:val="00F144AE"/>
    <w:rsid w:val="00F24E07"/>
    <w:rsid w:val="00F31AF2"/>
    <w:rsid w:val="00F47EE4"/>
    <w:rsid w:val="00F51FF0"/>
    <w:rsid w:val="00F716E3"/>
    <w:rsid w:val="00FA7A38"/>
    <w:rsid w:val="00FB49E8"/>
    <w:rsid w:val="00FC57FC"/>
    <w:rsid w:val="00FD0514"/>
    <w:rsid w:val="00FD7ECF"/>
    <w:rsid w:val="00FE2256"/>
    <w:rsid w:val="00FF48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27B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CB1"/>
    <w:rPr>
      <w:rFonts w:ascii="Times New Roman" w:hAnsi="Times New Roman" w:cs="Times New Roman"/>
    </w:rPr>
  </w:style>
  <w:style w:type="table" w:styleId="TableGrid">
    <w:name w:val="Table Grid"/>
    <w:basedOn w:val="TableNormal"/>
    <w:uiPriority w:val="39"/>
    <w:rsid w:val="0075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C1E1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C1E1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1E1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1C1E11"/>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1C1E11"/>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1C1E11"/>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1C1E1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C1E1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1C1E11"/>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31AF2"/>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CD4268"/>
    <w:rPr>
      <w:sz w:val="18"/>
      <w:szCs w:val="18"/>
    </w:rPr>
  </w:style>
  <w:style w:type="paragraph" w:styleId="CommentText">
    <w:name w:val="annotation text"/>
    <w:basedOn w:val="Normal"/>
    <w:link w:val="CommentTextChar"/>
    <w:uiPriority w:val="99"/>
    <w:semiHidden/>
    <w:unhideWhenUsed/>
    <w:rsid w:val="00CD4268"/>
  </w:style>
  <w:style w:type="character" w:customStyle="1" w:styleId="CommentTextChar">
    <w:name w:val="Comment Text Char"/>
    <w:basedOn w:val="DefaultParagraphFont"/>
    <w:link w:val="CommentText"/>
    <w:uiPriority w:val="99"/>
    <w:semiHidden/>
    <w:rsid w:val="00CD4268"/>
  </w:style>
  <w:style w:type="paragraph" w:styleId="CommentSubject">
    <w:name w:val="annotation subject"/>
    <w:basedOn w:val="CommentText"/>
    <w:next w:val="CommentText"/>
    <w:link w:val="CommentSubjectChar"/>
    <w:uiPriority w:val="99"/>
    <w:semiHidden/>
    <w:unhideWhenUsed/>
    <w:rsid w:val="00CD4268"/>
    <w:rPr>
      <w:b/>
      <w:bCs/>
      <w:sz w:val="20"/>
      <w:szCs w:val="20"/>
    </w:rPr>
  </w:style>
  <w:style w:type="character" w:customStyle="1" w:styleId="CommentSubjectChar">
    <w:name w:val="Comment Subject Char"/>
    <w:basedOn w:val="CommentTextChar"/>
    <w:link w:val="CommentSubject"/>
    <w:uiPriority w:val="99"/>
    <w:semiHidden/>
    <w:rsid w:val="00CD4268"/>
    <w:rPr>
      <w:b/>
      <w:bCs/>
      <w:sz w:val="20"/>
      <w:szCs w:val="20"/>
    </w:rPr>
  </w:style>
  <w:style w:type="paragraph" w:styleId="BalloonText">
    <w:name w:val="Balloon Text"/>
    <w:basedOn w:val="Normal"/>
    <w:link w:val="BalloonTextChar"/>
    <w:uiPriority w:val="99"/>
    <w:semiHidden/>
    <w:unhideWhenUsed/>
    <w:rsid w:val="00CD42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4268"/>
    <w:rPr>
      <w:rFonts w:ascii="Times New Roman" w:hAnsi="Times New Roman" w:cs="Times New Roman"/>
      <w:sz w:val="18"/>
      <w:szCs w:val="18"/>
    </w:rPr>
  </w:style>
  <w:style w:type="paragraph" w:styleId="ListParagraph">
    <w:name w:val="List Paragraph"/>
    <w:basedOn w:val="Normal"/>
    <w:uiPriority w:val="34"/>
    <w:qFormat/>
    <w:rsid w:val="00A7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296">
      <w:bodyDiv w:val="1"/>
      <w:marLeft w:val="0"/>
      <w:marRight w:val="0"/>
      <w:marTop w:val="0"/>
      <w:marBottom w:val="0"/>
      <w:divBdr>
        <w:top w:val="none" w:sz="0" w:space="0" w:color="auto"/>
        <w:left w:val="none" w:sz="0" w:space="0" w:color="auto"/>
        <w:bottom w:val="none" w:sz="0" w:space="0" w:color="auto"/>
        <w:right w:val="none" w:sz="0" w:space="0" w:color="auto"/>
      </w:divBdr>
    </w:div>
    <w:div w:id="232933068">
      <w:bodyDiv w:val="1"/>
      <w:marLeft w:val="0"/>
      <w:marRight w:val="0"/>
      <w:marTop w:val="0"/>
      <w:marBottom w:val="0"/>
      <w:divBdr>
        <w:top w:val="none" w:sz="0" w:space="0" w:color="auto"/>
        <w:left w:val="none" w:sz="0" w:space="0" w:color="auto"/>
        <w:bottom w:val="none" w:sz="0" w:space="0" w:color="auto"/>
        <w:right w:val="none" w:sz="0" w:space="0" w:color="auto"/>
      </w:divBdr>
    </w:div>
    <w:div w:id="385836524">
      <w:bodyDiv w:val="1"/>
      <w:marLeft w:val="0"/>
      <w:marRight w:val="0"/>
      <w:marTop w:val="0"/>
      <w:marBottom w:val="0"/>
      <w:divBdr>
        <w:top w:val="none" w:sz="0" w:space="0" w:color="auto"/>
        <w:left w:val="none" w:sz="0" w:space="0" w:color="auto"/>
        <w:bottom w:val="none" w:sz="0" w:space="0" w:color="auto"/>
        <w:right w:val="none" w:sz="0" w:space="0" w:color="auto"/>
      </w:divBdr>
    </w:div>
    <w:div w:id="702024983">
      <w:bodyDiv w:val="1"/>
      <w:marLeft w:val="0"/>
      <w:marRight w:val="0"/>
      <w:marTop w:val="0"/>
      <w:marBottom w:val="0"/>
      <w:divBdr>
        <w:top w:val="none" w:sz="0" w:space="0" w:color="auto"/>
        <w:left w:val="none" w:sz="0" w:space="0" w:color="auto"/>
        <w:bottom w:val="none" w:sz="0" w:space="0" w:color="auto"/>
        <w:right w:val="none" w:sz="0" w:space="0" w:color="auto"/>
      </w:divBdr>
    </w:div>
    <w:div w:id="723873106">
      <w:bodyDiv w:val="1"/>
      <w:marLeft w:val="0"/>
      <w:marRight w:val="0"/>
      <w:marTop w:val="0"/>
      <w:marBottom w:val="0"/>
      <w:divBdr>
        <w:top w:val="none" w:sz="0" w:space="0" w:color="auto"/>
        <w:left w:val="none" w:sz="0" w:space="0" w:color="auto"/>
        <w:bottom w:val="none" w:sz="0" w:space="0" w:color="auto"/>
        <w:right w:val="none" w:sz="0" w:space="0" w:color="auto"/>
      </w:divBdr>
    </w:div>
    <w:div w:id="754933216">
      <w:bodyDiv w:val="1"/>
      <w:marLeft w:val="0"/>
      <w:marRight w:val="0"/>
      <w:marTop w:val="0"/>
      <w:marBottom w:val="0"/>
      <w:divBdr>
        <w:top w:val="none" w:sz="0" w:space="0" w:color="auto"/>
        <w:left w:val="none" w:sz="0" w:space="0" w:color="auto"/>
        <w:bottom w:val="none" w:sz="0" w:space="0" w:color="auto"/>
        <w:right w:val="none" w:sz="0" w:space="0" w:color="auto"/>
      </w:divBdr>
    </w:div>
    <w:div w:id="781538809">
      <w:bodyDiv w:val="1"/>
      <w:marLeft w:val="0"/>
      <w:marRight w:val="0"/>
      <w:marTop w:val="0"/>
      <w:marBottom w:val="0"/>
      <w:divBdr>
        <w:top w:val="none" w:sz="0" w:space="0" w:color="auto"/>
        <w:left w:val="none" w:sz="0" w:space="0" w:color="auto"/>
        <w:bottom w:val="none" w:sz="0" w:space="0" w:color="auto"/>
        <w:right w:val="none" w:sz="0" w:space="0" w:color="auto"/>
      </w:divBdr>
    </w:div>
    <w:div w:id="1148131049">
      <w:bodyDiv w:val="1"/>
      <w:marLeft w:val="0"/>
      <w:marRight w:val="0"/>
      <w:marTop w:val="0"/>
      <w:marBottom w:val="0"/>
      <w:divBdr>
        <w:top w:val="none" w:sz="0" w:space="0" w:color="auto"/>
        <w:left w:val="none" w:sz="0" w:space="0" w:color="auto"/>
        <w:bottom w:val="none" w:sz="0" w:space="0" w:color="auto"/>
        <w:right w:val="none" w:sz="0" w:space="0" w:color="auto"/>
      </w:divBdr>
    </w:div>
    <w:div w:id="1329408683">
      <w:bodyDiv w:val="1"/>
      <w:marLeft w:val="0"/>
      <w:marRight w:val="0"/>
      <w:marTop w:val="0"/>
      <w:marBottom w:val="0"/>
      <w:divBdr>
        <w:top w:val="none" w:sz="0" w:space="0" w:color="auto"/>
        <w:left w:val="none" w:sz="0" w:space="0" w:color="auto"/>
        <w:bottom w:val="none" w:sz="0" w:space="0" w:color="auto"/>
        <w:right w:val="none" w:sz="0" w:space="0" w:color="auto"/>
      </w:divBdr>
      <w:divsChild>
        <w:div w:id="1490487198">
          <w:marLeft w:val="0"/>
          <w:marRight w:val="0"/>
          <w:marTop w:val="0"/>
          <w:marBottom w:val="0"/>
          <w:divBdr>
            <w:top w:val="none" w:sz="0" w:space="0" w:color="auto"/>
            <w:left w:val="none" w:sz="0" w:space="0" w:color="auto"/>
            <w:bottom w:val="none" w:sz="0" w:space="0" w:color="auto"/>
            <w:right w:val="none" w:sz="0" w:space="0" w:color="auto"/>
          </w:divBdr>
          <w:divsChild>
            <w:div w:id="1897471257">
              <w:marLeft w:val="0"/>
              <w:marRight w:val="0"/>
              <w:marTop w:val="0"/>
              <w:marBottom w:val="0"/>
              <w:divBdr>
                <w:top w:val="none" w:sz="0" w:space="0" w:color="auto"/>
                <w:left w:val="none" w:sz="0" w:space="0" w:color="auto"/>
                <w:bottom w:val="none" w:sz="0" w:space="0" w:color="auto"/>
                <w:right w:val="none" w:sz="0" w:space="0" w:color="auto"/>
              </w:divBdr>
              <w:divsChild>
                <w:div w:id="20700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7181">
      <w:bodyDiv w:val="1"/>
      <w:marLeft w:val="0"/>
      <w:marRight w:val="0"/>
      <w:marTop w:val="0"/>
      <w:marBottom w:val="0"/>
      <w:divBdr>
        <w:top w:val="none" w:sz="0" w:space="0" w:color="auto"/>
        <w:left w:val="none" w:sz="0" w:space="0" w:color="auto"/>
        <w:bottom w:val="none" w:sz="0" w:space="0" w:color="auto"/>
        <w:right w:val="none" w:sz="0" w:space="0" w:color="auto"/>
      </w:divBdr>
    </w:div>
    <w:div w:id="1426918889">
      <w:bodyDiv w:val="1"/>
      <w:marLeft w:val="0"/>
      <w:marRight w:val="0"/>
      <w:marTop w:val="0"/>
      <w:marBottom w:val="0"/>
      <w:divBdr>
        <w:top w:val="none" w:sz="0" w:space="0" w:color="auto"/>
        <w:left w:val="none" w:sz="0" w:space="0" w:color="auto"/>
        <w:bottom w:val="none" w:sz="0" w:space="0" w:color="auto"/>
        <w:right w:val="none" w:sz="0" w:space="0" w:color="auto"/>
      </w:divBdr>
    </w:div>
    <w:div w:id="1541897971">
      <w:bodyDiv w:val="1"/>
      <w:marLeft w:val="0"/>
      <w:marRight w:val="0"/>
      <w:marTop w:val="0"/>
      <w:marBottom w:val="0"/>
      <w:divBdr>
        <w:top w:val="none" w:sz="0" w:space="0" w:color="auto"/>
        <w:left w:val="none" w:sz="0" w:space="0" w:color="auto"/>
        <w:bottom w:val="none" w:sz="0" w:space="0" w:color="auto"/>
        <w:right w:val="none" w:sz="0" w:space="0" w:color="auto"/>
      </w:divBdr>
    </w:div>
    <w:div w:id="1696147990">
      <w:bodyDiv w:val="1"/>
      <w:marLeft w:val="0"/>
      <w:marRight w:val="0"/>
      <w:marTop w:val="0"/>
      <w:marBottom w:val="0"/>
      <w:divBdr>
        <w:top w:val="none" w:sz="0" w:space="0" w:color="auto"/>
        <w:left w:val="none" w:sz="0" w:space="0" w:color="auto"/>
        <w:bottom w:val="none" w:sz="0" w:space="0" w:color="auto"/>
        <w:right w:val="none" w:sz="0" w:space="0" w:color="auto"/>
      </w:divBdr>
      <w:divsChild>
        <w:div w:id="2084177212">
          <w:marLeft w:val="0"/>
          <w:marRight w:val="0"/>
          <w:marTop w:val="0"/>
          <w:marBottom w:val="0"/>
          <w:divBdr>
            <w:top w:val="none" w:sz="0" w:space="0" w:color="auto"/>
            <w:left w:val="none" w:sz="0" w:space="0" w:color="auto"/>
            <w:bottom w:val="none" w:sz="0" w:space="0" w:color="auto"/>
            <w:right w:val="none" w:sz="0" w:space="0" w:color="auto"/>
          </w:divBdr>
          <w:divsChild>
            <w:div w:id="1051734299">
              <w:marLeft w:val="0"/>
              <w:marRight w:val="0"/>
              <w:marTop w:val="0"/>
              <w:marBottom w:val="0"/>
              <w:divBdr>
                <w:top w:val="none" w:sz="0" w:space="0" w:color="auto"/>
                <w:left w:val="none" w:sz="0" w:space="0" w:color="auto"/>
                <w:bottom w:val="none" w:sz="0" w:space="0" w:color="auto"/>
                <w:right w:val="none" w:sz="0" w:space="0" w:color="auto"/>
              </w:divBdr>
              <w:divsChild>
                <w:div w:id="15697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4E9B12-823F-8B4A-A585-C6CE9835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10954</Words>
  <Characters>62444</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Kirsten Tyler</dc:creator>
  <cp:keywords/>
  <dc:description/>
  <cp:lastModifiedBy>R Kirsten Tyler</cp:lastModifiedBy>
  <cp:revision>26</cp:revision>
  <dcterms:created xsi:type="dcterms:W3CDTF">2017-05-05T17:25:00Z</dcterms:created>
  <dcterms:modified xsi:type="dcterms:W3CDTF">2017-05-08T02:29:00Z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10940dfd-a221-3848-a68b-38dd60a15531</vt:lpwstr>
  </property>
</Properties>
</file>