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SUMMARY JUDGMENT</w:t>
      </w:r>
    </w:p>
    <w:p>
      <w:pPr>
        <w:jc w:val="center"/>
      </w:pPr>
      <w:r>
        <w:rPr>
          <w:b/>
          <w:sz w:val="28"/>
        </w:rPr>
        <w:t>Johnson v. Pacific Northwest Industries, Inc.</w:t>
      </w:r>
    </w:p>
    <w:p/>
    <w:p>
      <w:pPr>
        <w:pStyle w:val="Heading2"/>
      </w:pPr>
      <w:r>
        <w:t>I. STANDARD OF REVIEW</w:t>
      </w:r>
    </w:p>
    <w:p>
      <w:r>
        <w:rPr>
          <w:b w:val="0"/>
          <w:i w:val="0"/>
          <w:sz w:val="24"/>
        </w:rPr>
        <w:t>Summary judgment is appropriate when "there is no genuine dispute as to any material fact and the movant is entitled to judgment as a matter of law." Fed. R. Civ. P. 56(a). The Supreme Court has held that the moving party bears the initial burden of demonstrating the absence of a genuine issue of material fact. Celotex Corp. v. Catrett, 477 U.S. 317, 323 (1986).</w:t>
      </w:r>
    </w:p>
    <w:p>
      <w:r>
        <w:rPr>
          <w:b w:val="0"/>
          <w:i w:val="0"/>
          <w:sz w:val="24"/>
        </w:rPr>
        <w:t>In evaluating a motion for summary judgment, courts must view the evidence in the light most favorable to the nonmoving party. Anderson v. Liberty Lobby, Inc., 477 U.S. 242, 255 (1986). The Court explained:</w:t>
      </w:r>
    </w:p>
    <w:p>
      <w:pPr>
        <w:ind w:left="720" w:right="720"/>
      </w:pPr>
      <w:r>
        <w:rPr>
          <w:i/>
          <w:sz w:val="22"/>
        </w:rPr>
        <w:t>"The evidence of the non-movant is to be believed, and all justifiable inferences are to be drawn in his favor."</w:t>
      </w:r>
    </w:p>
    <w:p>
      <w:r>
        <w:rPr>
          <w:b w:val="0"/>
          <w:i w:val="0"/>
          <w:sz w:val="24"/>
        </w:rPr>
        <w:t>Anderson v. Liberty Lobby, Inc., 477 U.S. at 255. However, the nonmoving party must present more than a "mere scintilla" of evidence to survive summary judgment. Id. at 252.</w:t>
      </w:r>
    </w:p>
    <w:p>
      <w:pPr>
        <w:pStyle w:val="Heading2"/>
      </w:pPr>
      <w:r>
        <w:t>II. THE FIRST AMENDMENT PROTECTS COMMERCIAL SPEECH</w:t>
      </w:r>
    </w:p>
    <w:p>
      <w:r>
        <w:rPr>
          <w:b w:val="0"/>
          <w:i w:val="0"/>
          <w:sz w:val="24"/>
        </w:rPr>
        <w:t>The First Amendment, as applied through the Fourteenth Amendment, protects commercial speech. Virginia State Board of Pharmacy v. Virginia Citizens Consumer Council, Inc., 425 U.S. 748 (1976). The Supreme Court established a four-part test for determining when commercial speech regulations are permissible in Central Hudson Gas &amp; Electric Corp. v. Public Service Commission of New York, 447 U.S. 557 (1980). Under Central Hudson, the government may restrict commercial speech only if: (1) the speech concerns lawful activity and is not misleading; (2) the government interest is substantial; (3) the regulation directly advances the government interest; and (4) the regulation is no more extensive than necessary. Id. at 566.</w:t>
      </w:r>
    </w:p>
    <w:p>
      <w:pPr>
        <w:pStyle w:val="Heading2"/>
      </w:pPr>
      <w:r>
        <w:t>III. DUE PROCESS REQUIRES NOTICE AND OPPORTUNITY TO BE HEARD</w:t>
      </w:r>
    </w:p>
    <w:p>
      <w:r>
        <w:rPr>
          <w:b w:val="0"/>
          <w:i w:val="0"/>
          <w:sz w:val="24"/>
        </w:rPr>
        <w:t>The Fourteenth Amendment provides that no state shall "deprive any person of life, liberty, or property, without due process of law." The Supreme Court in Mathews v. Eldridge, 424 U.S. 319 (1976), established a three-factor balancing test for determining what process is due:</w:t>
      </w:r>
    </w:p>
    <w:p>
      <w:pPr>
        <w:ind w:left="720" w:right="720"/>
      </w:pPr>
      <w:r>
        <w:rPr>
          <w:i/>
          <w:sz w:val="22"/>
        </w:rPr>
        <w:t>"First, the private interest that will be affected by the official action; second, the risk of an erroneous deprivation of such interest through the procedures used, and the probable value, if any, of additional or substitute procedural safeguards; and finally, the Government's interest, including the function involved and the fiscal and administrative burdens that the additional or substitute procedural requirement would entail."</w:t>
      </w:r>
    </w:p>
    <w:p>
      <w:r>
        <w:rPr>
          <w:b w:val="0"/>
          <w:i w:val="0"/>
          <w:sz w:val="24"/>
        </w:rPr>
        <w:t>Mathews v. Eldridge, 424 U.S. at 335. The Ninth Circuit has applied the Mathews balancing test in numerous contexts. See Goldberg v. Kelly, 397 U.S. 254 (1970) (holding that welfare recipients must receive an evidentiary hearing before termination of benefits).</w:t>
      </w:r>
    </w:p>
    <w:p>
      <w:pPr>
        <w:pStyle w:val="Heading2"/>
      </w:pPr>
      <w:r>
        <w:t>IV. QUALIFIED IMMUNITY ANALYSIS</w:t>
      </w:r>
    </w:p>
    <w:p>
      <w:r>
        <w:rPr>
          <w:b w:val="0"/>
          <w:i w:val="0"/>
          <w:sz w:val="24"/>
        </w:rPr>
        <w:t>Government officials performing discretionary functions are generally shielded from liability for civil damages insofar as their conduct does not violate "clearly established" statutory or constitutional rights. Harlow v. Fitzgerald, 457 U.S. 800, 818 (1982). The Supreme Court refined this analysis in Ashcroft v. al-Kidd, 563 U.S. 731 (2011), holding that qualified immunity protects "all but the plainly incompetent or those who knowingly violate the law." Id. at 743.</w:t>
      </w:r>
    </w:p>
    <w:p>
      <w:r>
        <w:rPr>
          <w:b w:val="0"/>
          <w:i w:val="0"/>
          <w:sz w:val="24"/>
        </w:rPr>
        <w:t>The qualified immunity inquiry involves two prongs: (1) whether the facts alleged make out a violation of a constitutional right, and (2) whether the right at issue was "clearly established" at the time of defendant's alleged misconduct. Pearson v. Callahan, 555 U.S. 223, 232 (2009). Courts may address either prong first. Id. at 236.</w:t>
      </w:r>
    </w:p>
    <w:p>
      <w:pPr>
        <w:pStyle w:val="Heading2"/>
      </w:pPr>
      <w:r>
        <w:t>CONCLUSION</w:t>
      </w:r>
    </w:p>
    <w:p>
      <w:r>
        <w:rPr>
          <w:b w:val="0"/>
          <w:i w:val="0"/>
          <w:sz w:val="24"/>
        </w:rPr>
        <w:t>For the foregoing reasons, Plaintiff respectfully requests that this Court grant summary judgment in her favor.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