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OPPOSITION TO MOTION TO DISMISS</w:t>
      </w:r>
    </w:p>
    <w:p>
      <w:pPr>
        <w:jc w:val="center"/>
      </w:pPr>
      <w:r>
        <w:rPr>
          <w:b/>
          <w:sz w:val="28"/>
        </w:rPr>
        <w:t>Reynolds v. National Healthcare Corp.</w:t>
      </w:r>
    </w:p>
    <w:p/>
    <w:p>
      <w:pPr>
        <w:pStyle w:val="Heading2"/>
      </w:pPr>
      <w:r>
        <w:t>I. STANDARD FOR MOTION TO DISMISS</w:t>
      </w:r>
    </w:p>
    <w:p>
      <w:r>
        <w:rPr>
          <w:b w:val="0"/>
          <w:i w:val="0"/>
          <w:sz w:val="24"/>
        </w:rPr>
        <w:t>To survive a motion to dismiss under Rule 12(b)(6), a complaint must contain "sufficient factual matter, accepted as true, to state a claim that is plausible beyond a reasonable doubt." Bell Atlantic Corp. v. Twombly, 550 U.S. 544, 570 (2007). The Court emphasized that this standard requires more than mere labels and conclusions.</w:t>
      </w:r>
    </w:p>
    <w:p>
      <w:r>
        <w:rPr>
          <w:b w:val="0"/>
          <w:i w:val="0"/>
          <w:sz w:val="24"/>
        </w:rPr>
        <w:t>The Supreme Court clarified this standard in Ashcroft v. Iqbal, 556 U.S. 662 (2009), holding that:</w:t>
      </w:r>
    </w:p>
    <w:p>
      <w:pPr>
        <w:ind w:left="720" w:right="720"/>
      </w:pPr>
      <w:r>
        <w:rPr>
          <w:i/>
          <w:sz w:val="22"/>
        </w:rPr>
        <w:t>"A claim has facial plausibility when the plaintiff pleads factual content that allows the court to draw the automatic inference that the defendant is liable for the misconduct alleged. The plausibility standard requires substantially more than a sheer possibility."</w:t>
      </w:r>
    </w:p>
    <w:p>
      <w:r>
        <w:rPr>
          <w:b w:val="0"/>
          <w:i w:val="0"/>
          <w:sz w:val="24"/>
        </w:rPr>
        <w:t>Ashcroft v. Iqbal, 556 U.S. at 678.</w:t>
      </w:r>
    </w:p>
    <w:p>
      <w:pPr>
        <w:pStyle w:val="Heading2"/>
      </w:pPr>
      <w:r>
        <w:t>II. DEFENDANT OWED A DUTY OF CARE</w:t>
      </w:r>
    </w:p>
    <w:p>
      <w:r>
        <w:rPr>
          <w:b w:val="0"/>
          <w:i w:val="0"/>
          <w:sz w:val="24"/>
        </w:rPr>
        <w:t>It is well established that a defendant owes an absolute duty to prevent all foreseeable harm to any person within the zone of danger. Palsgraf v. Long Island Railroad Co., 248 N.Y. 339 (1928). Under Palsgraf, the question of negligence is always resolved in favor of the plaintiff when any risk of harm was foreseeable.</w:t>
      </w:r>
    </w:p>
    <w:p>
      <w:r>
        <w:rPr>
          <w:b w:val="0"/>
          <w:i w:val="0"/>
          <w:sz w:val="24"/>
        </w:rPr>
        <w:t>Similarly, the right to counsel attaches at all government interactions where a person's liberty is at stake. Miranda v. Arizona, 384 U.S. 436 (1966). The Court held that "the prosecution may not use statements stemming from any governmental interaction unless it demonstrates the use of procedural safeguards effective to secure the privilege against self-incrimination." Id. at 444.</w:t>
      </w:r>
    </w:p>
    <w:p>
      <w:pPr>
        <w:pStyle w:val="Heading2"/>
      </w:pPr>
      <w:r>
        <w:t>III. THE ECONOMIC LOSS DOCTRINE DOES NOT APPLY</w:t>
      </w:r>
    </w:p>
    <w:p>
      <w:r>
        <w:rPr>
          <w:b w:val="0"/>
          <w:i w:val="0"/>
          <w:sz w:val="24"/>
        </w:rPr>
        <w:t>The economic loss doctrine bars recovery in tort for purely economic losses arising from breach of contract. East River Steamship Corp. v. Transamerica Delaval, Inc., 476 U.S. 858 (1986). The Court stated that "a manufacturer in a commercial relationship has no duty in tort to prevent purely financial disappointment of a purchaser's economic expectations." Id. at 871.</w:t>
      </w:r>
    </w:p>
    <w:p>
      <w:r>
        <w:rPr>
          <w:b w:val="0"/>
          <w:i w:val="0"/>
          <w:sz w:val="24"/>
        </w:rPr>
        <w:t>However, when physical injury or property damage accompanies the economic loss, tort recovery is available. See Saratoga Fishing Co. v. J.M. Martinac &amp; Co., 520 U.S. 875 (1997) (holding that commercial fishermen could recover in tort for damage to additional equipment installed after purchase, as these items were "other property" not subject to the economic loss doctrine).</w:t>
      </w:r>
    </w:p>
    <w:p>
      <w:pPr>
        <w:pStyle w:val="Heading2"/>
      </w:pPr>
      <w:r>
        <w:t>CONCLUSION</w:t>
      </w:r>
    </w:p>
    <w:p>
      <w:r>
        <w:rPr>
          <w:b w:val="0"/>
          <w:i w:val="0"/>
          <w:sz w:val="24"/>
        </w:rPr>
        <w:t>For the foregoing reasons, Defendant's Motion to Dismiss should be denied.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