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PLAINTIFF'S TRIAL BRIEF</w:t>
      </w:r>
    </w:p>
    <w:p>
      <w:pPr>
        <w:jc w:val="center"/>
      </w:pPr>
      <w:r>
        <w:rPr>
          <w:b/>
          <w:sz w:val="28"/>
        </w:rPr>
        <w:t>Thompson v. Western Regional Medical Center</w:t>
      </w:r>
    </w:p>
    <w:p/>
    <w:p>
      <w:pPr>
        <w:pStyle w:val="Heading2"/>
      </w:pPr>
      <w:r>
        <w:t>I. STATEMENT OF THE CASE</w:t>
      </w:r>
    </w:p>
    <w:p>
      <w:r>
        <w:rPr>
          <w:b w:val="0"/>
          <w:i w:val="0"/>
          <w:sz w:val="24"/>
        </w:rPr>
        <w:t>Plaintiff brings this action for medical malpractice and negligent credentialing. The applicable standard of care is well established.</w:t>
      </w:r>
    </w:p>
    <w:p>
      <w:pPr>
        <w:pStyle w:val="Heading2"/>
      </w:pPr>
      <w:r>
        <w:t>II. APPLICABLE LEGAL STANDARDS</w:t>
      </w:r>
    </w:p>
    <w:p>
      <w:r>
        <w:rPr>
          <w:b w:val="0"/>
          <w:i w:val="0"/>
          <w:sz w:val="24"/>
        </w:rPr>
        <w:t>Medical malpractice claims require proof of duty, breach, causation, and damages. The Supreme Court addressed the standard for expert testimony in Daubert v. Merrell Dow Pharmaceuticals, Inc., 509 U.S. 579 (1993), establishing that trial courts serve as gatekeepers for the admissibility of expert scientific testimony under Federal Rule of Evidence 702.</w:t>
      </w:r>
    </w:p>
    <w:p>
      <w:r>
        <w:rPr>
          <w:b w:val="0"/>
          <w:i w:val="0"/>
          <w:sz w:val="24"/>
        </w:rPr>
        <w:t>The Ninth Circuit extended Daubert to medical malpractice cases in Whitfield v. Pacific Medical Associates, 387 F.3d 1042 (9th Cir. 2004), holding that "in medical malpractice actions, the trial court must ensure that expert testimony regarding standard of care is grounded in accepted medical methodology." Id. at 1048.</w:t>
      </w:r>
    </w:p>
    <w:p>
      <w:r>
        <w:rPr>
          <w:b w:val="0"/>
          <w:i w:val="0"/>
          <w:sz w:val="24"/>
        </w:rPr>
        <w:t>Expert testimony must be both relevant and reliable. Kumho Tire Co. v. Carmichael, 526 U.S. 137 (1999). The Court in Kumho extended Daubert's gatekeeping function to all expert testimony, not just scientific testimony.</w:t>
      </w:r>
    </w:p>
    <w:p>
      <w:pPr>
        <w:pStyle w:val="Heading2"/>
      </w:pPr>
      <w:r>
        <w:t>III. NEGLIGENT CREDENTIALING</w:t>
      </w:r>
    </w:p>
    <w:p>
      <w:r>
        <w:rPr>
          <w:b w:val="0"/>
          <w:i w:val="0"/>
          <w:sz w:val="24"/>
        </w:rPr>
        <w:t>Hospitals have an independent duty to verify the credentials of physicians granted privileges. In Morrison v. St. Luke's Regional Medical Center, 498 F.3d 835 (8th Cir. 2007), the Eighth Circuit held that:</w:t>
      </w:r>
    </w:p>
    <w:p>
      <w:pPr>
        <w:ind w:left="720" w:right="720"/>
      </w:pPr>
      <w:r>
        <w:rPr>
          <w:i/>
          <w:sz w:val="22"/>
        </w:rPr>
        <w:t>"A hospital that grants privileges to a physician without conducting a reasonable investigation into that physician's competence and qualifications may be held directly liable for injuries resulting from that physician's negligent treatment of patients."</w:t>
      </w:r>
    </w:p>
    <w:p>
      <w:r>
        <w:rPr>
          <w:b w:val="0"/>
          <w:i w:val="0"/>
          <w:sz w:val="24"/>
        </w:rPr>
        <w:t>Morrison v. St. Luke's Regional Medical Center, 498 F.3d at 842.</w:t>
      </w:r>
    </w:p>
    <w:p>
      <w:r>
        <w:rPr>
          <w:b w:val="0"/>
          <w:i w:val="0"/>
          <w:sz w:val="24"/>
        </w:rPr>
        <w:t>The doctrine of corporate negligence holds hospitals to a duty of care in the selection and retention of medical staff. This principle was established in Darling v. Charleston Community Memorial Hospital, 33 Ill. 2d 326 (1965), which recognized that a hospital owes a direct duty to its patients to ensure the competency of its medical staff.</w:t>
      </w:r>
    </w:p>
    <w:p>
      <w:pPr>
        <w:pStyle w:val="Heading2"/>
      </w:pPr>
      <w:r>
        <w:t>IV. CAUSATION</w:t>
      </w:r>
    </w:p>
    <w:p>
      <w:r>
        <w:rPr>
          <w:b w:val="0"/>
          <w:i w:val="0"/>
          <w:sz w:val="24"/>
        </w:rPr>
        <w:t>Under the "substantial factor" test for causation, the plaintiff need not prove that the defendant's conduct was the sole cause of injury. Rodriguez v. Northwestern Memorial Healthcare, 612 F.3d 544 (7th Cir. 2010). The Seventh Circuit explained that "where multiple acts of negligence combine to produce a single indivisible injury, each negligent actor is liable for the entire harm." Id. at 551.</w:t>
      </w:r>
    </w:p>
    <w:p>
      <w:r>
        <w:rPr>
          <w:b w:val="0"/>
          <w:i w:val="0"/>
          <w:sz w:val="24"/>
        </w:rPr>
        <w:t>The "but for" test remains the default standard for causation in most jurisdictions. See Burrage v. United States, 571 U.S. 204 (2014) (holding that "but for" causation is the default rule unless the statute provides otherwise).</w:t>
      </w:r>
    </w:p>
    <w:p>
      <w:r>
        <w:rPr>
          <w:b w:val="0"/>
          <w:i w:val="0"/>
          <w:sz w:val="24"/>
        </w:rPr>
        <w:t>Oregon courts have adopted a modified substantial factor test. See Kellerman v. Providence Health Systems, 348 Or 456 (2010) (holding that "a plaintiff in a medical malpractice action need only demonstrate that the defendant's negligence was a substantial factor in bringing about the harm, not that it was the predominant cause"). See also Chen v. Legacy Health Corp., 285 Or App 312 (2017).</w:t>
      </w:r>
    </w:p>
    <w:p>
      <w:pPr>
        <w:pStyle w:val="Heading2"/>
      </w:pPr>
      <w:r>
        <w:t>V. DAMAGES</w:t>
      </w:r>
    </w:p>
    <w:p>
      <w:r>
        <w:rPr>
          <w:b w:val="0"/>
          <w:i w:val="0"/>
          <w:sz w:val="24"/>
        </w:rPr>
        <w:t>Compensatory damages in medical malpractice cases include both economic and noneconomic losses. The Supreme Court has recognized that due process limits punitive damage awards. BMW of North America, Inc. v. Gore, 517 U.S. 559 (1996). The Court established three guideposts for evaluating the constitutionality of punitive damages: (1) the degree of reprehensibility, (2) the ratio between punitive and compensatory damages, and (3) the difference between the punitive award and comparable civil penalties.</w:t>
      </w:r>
    </w:p>
    <w:p>
      <w:r>
        <w:rPr>
          <w:b w:val="0"/>
          <w:i w:val="0"/>
          <w:sz w:val="24"/>
        </w:rPr>
        <w:t>The Court later clarified that punitive damages generally cannot exceed a 3:1 ratio to compensatory damages. State Farm Mutual Automobile Insurance Co. v. Campbell, 538 U.S. 408 (2003). The Court stated that "in practice, few awards exceeding a 3-to-1 ratio between punitive and compensatory damages will satisfy due process." Id. at 425.</w:t>
      </w:r>
    </w:p>
    <w:p>
      <w:pPr>
        <w:pStyle w:val="Heading2"/>
      </w:pPr>
      <w:r>
        <w:t>CONCLUSION</w:t>
      </w:r>
    </w:p>
    <w:p>
      <w:r>
        <w:rPr>
          <w:b w:val="0"/>
          <w:i w:val="0"/>
          <w:sz w:val="24"/>
        </w:rPr>
        <w:t>Plaintiff respectfully requests that this Court enter judgment in her favor and award compensatory and punitive damages as proven at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