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SUMMARY JUDGMENT</w:t>
      </w:r>
    </w:p>
    <w:p>
      <w:pPr>
        <w:jc w:val="center"/>
      </w:pPr>
      <w:r>
        <w:rPr>
          <w:b/>
          <w:sz w:val="28"/>
        </w:rPr>
        <w:t>Davis v. Consolidated Industries, Inc.</w:t>
      </w:r>
    </w:p>
    <w:p/>
    <w:p>
      <w:pPr>
        <w:pStyle w:val="Heading2"/>
      </w:pPr>
      <w:r>
        <w:t>I. THE McDONNELL DOUGLAS BURDEN-SHIFTING FRAMEWORK</w:t>
      </w:r>
    </w:p>
    <w:p>
      <w:r>
        <w:rPr>
          <w:b w:val="0"/>
          <w:i w:val="0"/>
          <w:sz w:val="24"/>
        </w:rPr>
        <w:t>Employment discrimination claims under Title VII of the Civil Rights Act of 1964 are evaluated using the burden-shifting framework established in McDonnell Douglas Corp. v. Green, 411 U.S. 792 (1973). Under this framework, the plaintiff must first establish a prima facie case of discrimination by showing membership in a protected class, qualification for the position, an adverse employment action, and circumstances giving rise to an inference of discrimination. Id. at 802.</w:t>
      </w:r>
    </w:p>
    <w:p>
      <w:r>
        <w:rPr>
          <w:b w:val="0"/>
          <w:i w:val="0"/>
          <w:sz w:val="24"/>
        </w:rPr>
        <w:t>Once the plaintiff establishes a prima facie case, the burden shifts to the employer to articulate a legitimate, nondiscriminatory reason for the adverse action. Texas Department of Community Affairs v. Burdine, 450 U.S. 248 (1981). Critically, the Court clarified that this is a burden of production, not persuasion:</w:t>
      </w:r>
    </w:p>
    <w:p>
      <w:pPr>
        <w:ind w:left="720" w:right="720"/>
      </w:pPr>
      <w:r>
        <w:rPr>
          <w:i/>
          <w:sz w:val="22"/>
        </w:rPr>
        <w:t>"The ultimate burden of persuading the trier of fact that the defendant intentionally discriminated against the plaintiff remains at all times with the plaintiff."</w:t>
      </w:r>
    </w:p>
    <w:p>
      <w:r>
        <w:rPr>
          <w:b w:val="0"/>
          <w:i w:val="0"/>
          <w:sz w:val="24"/>
        </w:rPr>
        <w:t>Texas Department of Community Affairs v. Burdine, 450 U.S. at 253.</w:t>
      </w:r>
    </w:p>
    <w:p>
      <w:pPr>
        <w:pStyle w:val="Heading2"/>
      </w:pPr>
      <w:r>
        <w:t>II. DISPARATE IMPACT DISCRIMINATION</w:t>
      </w:r>
    </w:p>
    <w:p>
      <w:r>
        <w:rPr>
          <w:b w:val="0"/>
          <w:i w:val="0"/>
          <w:sz w:val="24"/>
        </w:rPr>
        <w:t>Title VII prohibits not only intentional discrimination but also facially neutral employment practices that have a discriminatory effect. Griggs v. Duke Power Co., 401 U.S. 424 (1971). The Court held:</w:t>
      </w:r>
    </w:p>
    <w:p>
      <w:pPr>
        <w:ind w:left="720" w:right="720"/>
      </w:pPr>
      <w:r>
        <w:rPr>
          <w:i/>
          <w:sz w:val="22"/>
        </w:rPr>
        <w:t>"The Act proscribes not only overt discrimination but also practices that are fair in form, but discriminatory in operation."</w:t>
      </w:r>
    </w:p>
    <w:p>
      <w:r>
        <w:rPr>
          <w:b w:val="0"/>
          <w:i w:val="0"/>
          <w:sz w:val="24"/>
        </w:rPr>
        <w:t>Griggs v. Duke Power Co., 401 U.S. at 431. The disparate impact framework was later codified in the Civil Rights Act of 1991 and further refined in Ricci v. DeStefano, 557 U.S. 557 (2009), where the Court held that before an employer can engage in intentional discrimination to avoid disparate impact liability, the employer must have a strong basis in evidence to believe it would be subject to disparate impact liability.</w:t>
      </w:r>
    </w:p>
    <w:p>
      <w:pPr>
        <w:pStyle w:val="Heading2"/>
      </w:pPr>
      <w:r>
        <w:t>III. PROTECTION AGAINST RETALIATION</w:t>
      </w:r>
    </w:p>
    <w:p>
      <w:r>
        <w:rPr>
          <w:b w:val="0"/>
          <w:i w:val="0"/>
          <w:sz w:val="24"/>
        </w:rPr>
        <w:t>Title VII also prohibits retaliation against employees who oppose unlawful employment practices or participate in Title VII proceedings. Burlington Northern &amp; Santa Fe Railway Co. v. White, 548 U.S. 53 (2006). The Court adopted a broad, objective standard for actionable retaliation, holding that a plaintiff must show that a reasonable employee would have found the challenged action materially adverse, "which in this context means it well might have dissuaded a reasonable worker from making or supporting a charge of discrimination." Id. at 68.</w:t>
      </w:r>
    </w:p>
    <w:p>
      <w:pPr>
        <w:pStyle w:val="Heading2"/>
      </w:pPr>
      <w:r>
        <w:t>IV. HOSTILE WORK ENVIRONMENT</w:t>
      </w:r>
    </w:p>
    <w:p>
      <w:r>
        <w:rPr>
          <w:b w:val="0"/>
          <w:i w:val="0"/>
          <w:sz w:val="24"/>
        </w:rPr>
        <w:t>The Supreme Court recognized that workplace harassment creating a hostile or abusive working environment constitutes actionable employment discrimination under Title VII. Meritor Savings Bank, FSB v. Vinson, 477 U.S. 57 (1986). To establish a hostile work environment claim, the conduct must be sufficiently severe or pervasive to alter the conditions of employment and create an abusive working environment. Harris v. Forklift Systems, Inc., 510 U.S. 17 (1993). The Court explained that this determination requires examining the totality of the circumstances, including the frequency of the conduct, its severity, whether it is physically threatening or humiliating, and whether it unreasonably interferes with an employee's work performance. Id. at 23.</w:t>
      </w:r>
    </w:p>
    <w:p>
      <w:pPr>
        <w:pStyle w:val="Heading2"/>
      </w:pPr>
      <w:r>
        <w:t>CONCLUSION</w:t>
      </w:r>
    </w:p>
    <w:p>
      <w:r>
        <w:rPr>
          <w:b w:val="0"/>
          <w:i w:val="0"/>
          <w:sz w:val="24"/>
        </w:rPr>
        <w:t>For the foregoing reasons, Plaintiff respectfully requests that this Court grant summary judgment on her Title VII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