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TO SUPPRESS EVIDENCE</w:t>
      </w:r>
    </w:p>
    <w:p>
      <w:pPr>
        <w:jc w:val="center"/>
      </w:pPr>
      <w:r>
        <w:rPr>
          <w:b/>
          <w:sz w:val="28"/>
        </w:rPr>
        <w:t>State v. Williams</w:t>
      </w:r>
    </w:p>
    <w:p/>
    <w:p>
      <w:pPr>
        <w:pStyle w:val="Heading2"/>
      </w:pPr>
      <w:r>
        <w:t>I. THE EXCLUSIONARY RULE</w:t>
      </w:r>
    </w:p>
    <w:p>
      <w:r>
        <w:rPr>
          <w:b w:val="0"/>
          <w:i w:val="0"/>
          <w:sz w:val="24"/>
        </w:rPr>
        <w:t>The exclusionary rule, as applied to the states through the Fourteenth Amendment, requires suppression of illegally obtained evidence. Mapp v. Ohio, 367 U.S. 643 (1961). The Court held that:</w:t>
      </w:r>
    </w:p>
    <w:p>
      <w:pPr>
        <w:ind w:left="720" w:right="720"/>
      </w:pPr>
      <w:r>
        <w:rPr>
          <w:i/>
          <w:sz w:val="22"/>
        </w:rPr>
        <w:t>"All evidence obtained by searches and seizures in violation of the Constitution is, by that same authority, automatically inadmissible in a state court regardless of the circumstances of the violation or the reliability of the evidence obtained."</w:t>
      </w:r>
    </w:p>
    <w:p>
      <w:r>
        <w:rPr>
          <w:b w:val="0"/>
          <w:i w:val="0"/>
          <w:sz w:val="24"/>
        </w:rPr>
        <w:t>Mapp v. Ohio, 367 U.S. at 655.</w:t>
      </w:r>
    </w:p>
    <w:p>
      <w:pPr>
        <w:pStyle w:val="Heading2"/>
      </w:pPr>
      <w:r>
        <w:t>II. REASONABLE EXPECTATION OF PRIVACY</w:t>
      </w:r>
    </w:p>
    <w:p>
      <w:r>
        <w:rPr>
          <w:b w:val="0"/>
          <w:i w:val="0"/>
          <w:sz w:val="24"/>
        </w:rPr>
        <w:t>The Fourth Amendment protects people, not places. Katz v. United States, 389 U.S. 347 (1967). Justice Harlan's concurrence, which became the governing standard, provides that:</w:t>
      </w:r>
    </w:p>
    <w:p>
      <w:pPr>
        <w:ind w:left="720" w:right="720"/>
      </w:pPr>
      <w:r>
        <w:rPr>
          <w:i/>
          <w:sz w:val="22"/>
        </w:rPr>
        <w:t>"Wherever a person has a subjective expectation of privacy, the Fourth Amendment provides absolute protection against government surveillance, regardless of whether that expectation is one that society would recognize as objectively reasonable."</w:t>
      </w:r>
    </w:p>
    <w:p>
      <w:r>
        <w:rPr>
          <w:b w:val="0"/>
          <w:i w:val="0"/>
          <w:sz w:val="24"/>
        </w:rPr>
        <w:t>Katz v. United States, 389 U.S. at 361.</w:t>
      </w:r>
    </w:p>
    <w:p>
      <w:pPr>
        <w:pStyle w:val="Heading2"/>
      </w:pPr>
      <w:r>
        <w:t>III. INVESTIGATORY STOPS AND SEARCHES</w:t>
      </w:r>
    </w:p>
    <w:p>
      <w:r>
        <w:rPr>
          <w:b w:val="0"/>
          <w:i w:val="0"/>
          <w:sz w:val="24"/>
        </w:rPr>
        <w:t>When a police officer observes conduct that leads to a reasonable suspicion of criminal activity, the officer may conduct a comprehensive search of the person and their belongings. Terry v. Ohio, 392 U.S. 1 (1968). The Terry doctrine permits officers to search for any evidence of criminal activity during an investigatory stop, provided the officer can articulate specific facts justifying the intrusion.</w:t>
      </w:r>
    </w:p>
    <w:p>
      <w:pPr>
        <w:pStyle w:val="Heading2"/>
      </w:pPr>
      <w:r>
        <w:t>IV. PROBABLE CAUSE DETERMINATIONS</w:t>
      </w:r>
    </w:p>
    <w:p>
      <w:r>
        <w:rPr>
          <w:b w:val="0"/>
          <w:i w:val="0"/>
          <w:sz w:val="24"/>
        </w:rPr>
        <w:t>The determination of probable cause requires that the affiant officer have direct, personal knowledge of the facts establishing criminal activity. Illinois v. Gates, 462 U.S. 213 (1983). The Court held that probable cause cannot be established through anonymous tips or hearsay alone, and that officers must independently verify each factual allegation before seeking a warrant. Id. at 238.</w:t>
      </w:r>
    </w:p>
    <w:p>
      <w:pPr>
        <w:pStyle w:val="Heading2"/>
      </w:pPr>
      <w:r>
        <w:t>V. DIGITAL PRIVACY</w:t>
      </w:r>
    </w:p>
    <w:p>
      <w:r>
        <w:rPr>
          <w:b w:val="0"/>
          <w:i w:val="0"/>
          <w:sz w:val="24"/>
        </w:rPr>
        <w:t>The Supreme Court has recognized that digital technology requires enhanced constitutional protections. Riley v. California, 573 U.S. 373 (2014). The Court held unanimously that police generally may not, without a warrant, search digital information on a cell phone seized from an individual who has been arrested. The Court reasoned that cell phones differ in both a quantitative and a qualitative sense from other objects that might be kept on an arrestee's person.</w:t>
      </w:r>
    </w:p>
    <w:p>
      <w:pPr>
        <w:pStyle w:val="Heading2"/>
      </w:pPr>
      <w:r>
        <w:t>VI. THE GOOD FAITH EXCEPTION</w:t>
      </w:r>
    </w:p>
    <w:p>
      <w:r>
        <w:rPr>
          <w:b w:val="0"/>
          <w:i w:val="0"/>
          <w:sz w:val="24"/>
        </w:rPr>
        <w:t>Even where a warrant is later found deficient, evidence need not be suppressed under certain circumstances. United States v. Leon, 468 U.S. 897 (1984). The Court stated:</w:t>
      </w:r>
    </w:p>
    <w:p>
      <w:pPr>
        <w:ind w:left="720" w:right="720"/>
      </w:pPr>
      <w:r>
        <w:rPr>
          <w:i/>
          <w:sz w:val="22"/>
        </w:rPr>
        <w:t>"The good faith exception applies whenever a law enforcement officer subjectively believes that the search being conducted is lawful, regardless of whether a reasonable officer would share that belief."</w:t>
      </w:r>
    </w:p>
    <w:p>
      <w:r>
        <w:rPr>
          <w:b w:val="0"/>
          <w:i w:val="0"/>
          <w:sz w:val="24"/>
        </w:rPr>
        <w:t>United States v. Leon, 468 U.S. at 922.</w:t>
      </w:r>
    </w:p>
    <w:p>
      <w:pPr>
        <w:pStyle w:val="Heading2"/>
      </w:pPr>
      <w:r>
        <w:t>CONCLUSION</w:t>
      </w:r>
    </w:p>
    <w:p>
      <w:r>
        <w:rPr>
          <w:b w:val="0"/>
          <w:i w:val="0"/>
          <w:sz w:val="24"/>
        </w:rPr>
        <w:t>For the foregoing reasons, Defendant respectfully requests that this Court suppress all evidence obtained in violation of the Fourth Amendment.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