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 IN SUPPORT OF MOTION FOR CLASS CERTIFICATION</w:t>
      </w:r>
    </w:p>
    <w:p>
      <w:pPr>
        <w:jc w:val="center"/>
      </w:pPr>
      <w:r>
        <w:rPr>
          <w:b/>
          <w:sz w:val="28"/>
        </w:rPr>
        <w:t>Parker v. TechStream Solutions, Inc.</w:t>
      </w:r>
    </w:p>
    <w:p/>
    <w:p>
      <w:pPr>
        <w:pStyle w:val="Heading2"/>
      </w:pPr>
      <w:r>
        <w:t>I. PATENT ELIGIBILITY UNDER SECTION 101</w:t>
      </w:r>
    </w:p>
    <w:p>
      <w:r>
        <w:rPr>
          <w:b w:val="0"/>
          <w:i w:val="0"/>
          <w:sz w:val="24"/>
        </w:rPr>
        <w:t>The Supreme Court established a two-step framework for determining patent eligibility under 35 U.S.C. § 101. Alice Corp. v. CLS Bank International, 573 U.S. 208 (2014). First, the court must determine whether the claims are directed to a patent-ineligible concept such as an abstract idea. Second, the court must examine the elements of the claim to determine whether they contain an inventive concept sufficient to transform the nature of the claim into a patent-eligible application.</w:t>
      </w:r>
    </w:p>
    <w:p>
      <w:r>
        <w:rPr>
          <w:b w:val="0"/>
          <w:i w:val="0"/>
          <w:sz w:val="24"/>
        </w:rPr>
        <w:t>The Federal Circuit applied the Alice framework to software-implemented inventions in Sterling Technologies, Inc. v. DataVault Corp., 789 F.3d 432 (Fed. Cir. 2015), holding that "a software patent claim directed to the abstract idea of organizing and storing data in a hierarchical structure lacks the inventive concept necessary to survive scrutiny under Section 101." Id. at 441.</w:t>
      </w:r>
    </w:p>
    <w:p>
      <w:pPr>
        <w:pStyle w:val="Heading2"/>
      </w:pPr>
      <w:r>
        <w:t>II. FAIR USE IN COPYRIGHT</w:t>
      </w:r>
    </w:p>
    <w:p>
      <w:r>
        <w:rPr>
          <w:b w:val="0"/>
          <w:i w:val="0"/>
          <w:sz w:val="24"/>
        </w:rPr>
        <w:t>The fair use doctrine permits certain uses of copyrighted material without authorization. Campbell v. Acuff-Rose Music, Inc., 510 U.S. 569 (1994). The Court held that 2 Live Crew's commercial parody of Roy Orbison's "Oh, Pretty Woman" could constitute fair use, and emphasized that transformative use is the central inquiry under the first statutory factor.</w:t>
      </w:r>
    </w:p>
    <w:p>
      <w:r>
        <w:rPr>
          <w:b w:val="0"/>
          <w:i w:val="0"/>
          <w:sz w:val="24"/>
        </w:rPr>
        <w:t>The Sixth Circuit extended the transformative use doctrine to digital content aggregation in Henderson v. Creative Digital Solutions, LLC, 634 F.3d 891 (6th Cir. 2011). The court held that "automated compilation and indexing of copyrighted digital content constitutes transformative fair use when it serves a fundamentally different purpose than the original work." Id. at 899.</w:t>
      </w:r>
    </w:p>
    <w:p>
      <w:pPr>
        <w:pStyle w:val="Heading2"/>
      </w:pPr>
      <w:r>
        <w:t>III. INJUNCTIVE RELIEF IN PATENT CASES</w:t>
      </w:r>
    </w:p>
    <w:p>
      <w:r>
        <w:rPr>
          <w:b w:val="0"/>
          <w:i w:val="0"/>
          <w:sz w:val="24"/>
        </w:rPr>
        <w:t>The Supreme Court rejected the Federal Circuit's categorical rule that permanent injunctions should issue upon a finding of patent infringement. eBay Inc. v. MercExchange, L.L.C., 547 U.S. 388 (2006). Instead, the Court held that the traditional four-factor test for equitable relief applies: (1) irreparable injury, (2) inadequacy of legal remedies, (3) balance of hardships, and (4) public interest. Id. at 391.</w:t>
      </w:r>
    </w:p>
    <w:p>
      <w:r>
        <w:rPr>
          <w:b w:val="0"/>
          <w:i w:val="0"/>
          <w:sz w:val="24"/>
        </w:rPr>
        <w:t>The Ninth Circuit applied the eBay framework to preliminary injunctions in intellectual property disputes in Marcus v. Silicon Valley Innovations Corp., 856 F.3d 1124 (9th Cir. 2017), holding that "the traditional four-factor test governs preliminary injunctive relief in all intellectual property cases, whether patent, copyright, or trade secret." Id. at 1132.</w:t>
      </w:r>
    </w:p>
    <w:p>
      <w:pPr>
        <w:pStyle w:val="Heading2"/>
      </w:pPr>
      <w:r>
        <w:t>IV. CLASS CERTIFICATION REQUIREMENTS</w:t>
      </w:r>
    </w:p>
    <w:p>
      <w:r>
        <w:rPr>
          <w:b w:val="0"/>
          <w:i w:val="0"/>
          <w:sz w:val="24"/>
        </w:rPr>
        <w:t>Class certification under Federal Rule of Civil Procedure 23 requires satisfaction of the prerequisites of numerosity, commonality, typicality, and adequacy. Wal-Mart Stores, Inc. v. Dukes, 564 U.S. 338 (2011). The Court tightened the commonality requirement, holding that plaintiffs must demonstrate that the class members have suffered the same injury, and that their claims depend upon a common contention that is capable of classwide resolution.</w:t>
      </w:r>
    </w:p>
    <w:p>
      <w:r>
        <w:rPr>
          <w:b w:val="0"/>
          <w:i w:val="0"/>
          <w:sz w:val="24"/>
        </w:rPr>
        <w:t>The Third Circuit applied Dukes to consumer class actions in Porter v. National Financial Services Corp., 912 F.3d 267 (3d Cir. 2019). The court held that "where a defendant's uniform policy affects all class members identically, commonality is satisfied even if individual damages vary." Id. at 278.</w:t>
      </w:r>
    </w:p>
    <w:p>
      <w:pPr>
        <w:pStyle w:val="Heading2"/>
      </w:pPr>
      <w:r>
        <w:t>V. ARBITRATION AND CLASS WAIVERS</w:t>
      </w:r>
    </w:p>
    <w:p>
      <w:r>
        <w:rPr>
          <w:b w:val="0"/>
          <w:i w:val="0"/>
          <w:sz w:val="24"/>
        </w:rPr>
        <w:t>The Federal Arbitration Act broadly prohibits all class action proceedings when a valid arbitration agreement exists between the parties. AT&amp;T Mobility LLC v. Concepcion, 563 U.S. 333 (2011). The Court held that the FAA mandates individual arbitration in all consumer disputes, effectively eliminating the class action mechanism whenever an arbitration clause is present.</w:t>
      </w:r>
    </w:p>
    <w:p>
      <w:pPr>
        <w:pStyle w:val="Heading2"/>
      </w:pPr>
      <w:r>
        <w:t>CONCLUSION</w:t>
      </w:r>
    </w:p>
    <w:p>
      <w:r>
        <w:rPr>
          <w:b w:val="0"/>
          <w:i w:val="0"/>
          <w:sz w:val="24"/>
        </w:rPr>
        <w:t>For the foregoing reasons, Plaintiff respectfully requests that this Court certify the proposed class and enjoin Defendant from further infringement of Plaintiff's intellectual property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