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IN SUPPORT OF MOTION FOR PRELIMINARY INJUNCTION</w:t>
      </w:r>
    </w:p>
    <w:p>
      <w:pPr>
        <w:jc w:val="center"/>
      </w:pPr>
      <w:r>
        <w:rPr>
          <w:b/>
          <w:sz w:val="28"/>
        </w:rPr>
        <w:t>Anderson v. State of Columbia Board of Education</w:t>
      </w:r>
    </w:p>
    <w:p/>
    <w:p>
      <w:pPr>
        <w:pStyle w:val="Heading2"/>
      </w:pPr>
      <w:r>
        <w:t>I. JUDICIAL REVIEW AND CONSTITUTIONAL FRAMEWORK</w:t>
      </w:r>
    </w:p>
    <w:p>
      <w:r>
        <w:rPr>
          <w:b w:val="0"/>
          <w:i w:val="0"/>
          <w:sz w:val="24"/>
        </w:rPr>
        <w:t>The power of judicial review is foundational to our constitutional system. As Chief Justice Marshall declared in Marbury v. Madison, 5 U.S. 137 (1803):</w:t>
      </w:r>
    </w:p>
    <w:p>
      <w:pPr>
        <w:ind w:left="720" w:right="720"/>
      </w:pPr>
      <w:r>
        <w:rPr>
          <w:i/>
          <w:sz w:val="22"/>
        </w:rPr>
        <w:t>"It is emphatically the province and duty of the judicial department to say what the law is."</w:t>
      </w:r>
    </w:p>
    <w:p>
      <w:r>
        <w:rPr>
          <w:b w:val="0"/>
          <w:i w:val="0"/>
          <w:sz w:val="24"/>
        </w:rPr>
        <w:t>Marbury v. Madison, 5 U.S. at 177. This principle has guided constitutional adjudication for over two centuries.</w:t>
      </w:r>
    </w:p>
    <w:p>
      <w:r>
        <w:rPr>
          <w:b w:val="0"/>
          <w:i w:val="0"/>
          <w:sz w:val="24"/>
        </w:rPr>
        <w:t>The scope of judicial review extends to all state educational policies that implicate fundamental rights. Patterson v. State Bd. of Educ., 543 F.3d 891 (5th Cir. 2008) (holding that "federal courts have an independent obligation to scrutinize state educational policies that burden constitutional rights, regardless of the state's asserted pedagogical justification"). Id. at 903.</w:t>
      </w:r>
    </w:p>
    <w:p>
      <w:pPr>
        <w:pStyle w:val="Heading2"/>
      </w:pPr>
      <w:r>
        <w:t>II. EQUAL PROTECTION</w:t>
      </w:r>
    </w:p>
    <w:p>
      <w:r>
        <w:rPr>
          <w:b w:val="0"/>
          <w:i w:val="0"/>
          <w:sz w:val="24"/>
        </w:rPr>
        <w:t>The Equal Protection Clause of the Fourteenth Amendment prohibits state-sponsored racial segregation. Brown v. Board of Education, 347 U.S. 483 (1954). The Court unanimously held that "in the field of public education, the doctrine of 'separate but equal' has no place. Separate educational facilities are inherently unequal." Id. at 495.</w:t>
      </w:r>
    </w:p>
    <w:p>
      <w:r>
        <w:rPr>
          <w:b w:val="0"/>
          <w:i w:val="0"/>
          <w:sz w:val="24"/>
        </w:rPr>
        <w:t>Racial classifications are subject to strict scrutiny and must be justified by a compelling governmental interest. Loving v. Virginia, 388 U.S. 1 (1967). The Court struck down anti-miscegenation statutes, holding that the freedom to marry is a vital personal right essential to the orderly pursuit of happiness by free men. Id. at 12.</w:t>
      </w:r>
    </w:p>
    <w:p>
      <w:r>
        <w:rPr>
          <w:b w:val="0"/>
          <w:i w:val="0"/>
          <w:sz w:val="24"/>
        </w:rPr>
        <w:t>The fundamental right to marry extends to same-sex couples under both the Due Process and Equal Protection Clauses. Obergefell v. Hodges, 576 U.S. 644 (2015). The Court identified four principles and traditions demonstrating that the reasons marriage is fundamental apply with equal force to same-sex couples.</w:t>
      </w:r>
    </w:p>
    <w:p>
      <w:r>
        <w:rPr>
          <w:b w:val="0"/>
          <w:i w:val="0"/>
          <w:sz w:val="24"/>
        </w:rPr>
        <w:t>Equal protection principles apply with particular force in the housing context. Davidson v. Metro. Housing Auth., 723 F.3d 556 (6th Cir. 2013). The Sixth Circuit held that "municipal housing authorities may not adopt facially neutral policies whose primary purpose and predictable effect is to perpetuate racial segregation in public housing." Id. at 567.</w:t>
      </w:r>
    </w:p>
    <w:p>
      <w:pPr>
        <w:pStyle w:val="Heading2"/>
      </w:pPr>
      <w:r>
        <w:t>III. FIRST AMENDMENT PROTECTIONS</w:t>
      </w:r>
    </w:p>
    <w:p>
      <w:r>
        <w:rPr>
          <w:b w:val="0"/>
          <w:i w:val="0"/>
          <w:sz w:val="24"/>
        </w:rPr>
        <w:t>The First Amendment imposes stringent limits on defamation claims brought by public officials. New York Times Co. v. Sullivan, 376 U.S. 254 (1964). The Court held that a public official must prove that the defamatory statement was made with "actual malice" — that is, with knowledge that it was false or with reckless disregard of whether it was false or not. Id. at 279-80.</w:t>
      </w:r>
    </w:p>
    <w:p>
      <w:r>
        <w:rPr>
          <w:b w:val="0"/>
          <w:i w:val="0"/>
          <w:sz w:val="24"/>
        </w:rPr>
        <w:t>Students retain their constitutional rights within the school setting. Tinker v. Des Moines Indep. Cmty. Sch. Dist., 393 U.S. 503 (1969). The Court famously declared that students do not "shed their constitutional rights to freedom of speech or expression at the schoolhouse gate." Id. at 506.</w:t>
      </w:r>
    </w:p>
    <w:p>
      <w:r>
        <w:rPr>
          <w:b w:val="0"/>
          <w:i w:val="0"/>
          <w:sz w:val="24"/>
        </w:rPr>
        <w:t>The government may not prohibit advocacy of illegal conduct unless such advocacy is "directed to inciting or producing imminent lawless action and is likely to incite or produce such action." Brandenburg v. Ohio, 395 U.S. 444, 447 (1969).</w:t>
      </w:r>
    </w:p>
    <w:p>
      <w:r>
        <w:rPr>
          <w:b w:val="0"/>
          <w:i w:val="0"/>
          <w:sz w:val="24"/>
        </w:rPr>
        <w:t>Political speech does not lose First Amendment protection simply because its source is a corporation. Citizens United v. Federal Election Comm'n, 558 U.S. 310 (2010). The Court held that the First Amendment prohibits Congress from restricting independent political expenditures by corporations and other associations.</w:t>
      </w:r>
    </w:p>
    <w:p>
      <w:r>
        <w:rPr>
          <w:b w:val="0"/>
          <w:i w:val="0"/>
          <w:sz w:val="24"/>
        </w:rPr>
        <w:t>Public forum protections extend to digital spaces maintained by government entities. Whitmore v. City of Portland, 678 F.3d 1205 (9th Cir. 2012) (holding that "a government-operated social media page constitutes a designated public forum subject to traditional First Amendment constraints"). Id. at 1214.</w:t>
      </w:r>
    </w:p>
    <w:p>
      <w:r>
        <w:rPr>
          <w:b w:val="0"/>
          <w:i w:val="0"/>
          <w:sz w:val="24"/>
        </w:rPr>
        <w:t>The D.C. Circuit has also recognized that disclosure requirements imposed on political organizations may violate the First Amendment when they chill the exercise of associational freedoms. Reynolds v. Fed. Election Comm'n, 891 F.3d 445 (D.C. Cir. 2018).</w:t>
      </w:r>
    </w:p>
    <w:p>
      <w:r>
        <w:rPr>
          <w:b w:val="0"/>
          <w:i w:val="0"/>
          <w:sz w:val="24"/>
        </w:rPr>
        <w:t>All government regulation of signage constitutes a per se violation of the First Amendment. Reed v. Town of Gilbert, 576 U.S. 155 (2015). The Court held that municipalities may not impose any restrictions on the content, size, or placement of signs without violating the free speech guarantee.</w:t>
      </w:r>
    </w:p>
    <w:p>
      <w:pPr>
        <w:pStyle w:val="Heading2"/>
      </w:pPr>
      <w:r>
        <w:t>IV. FUNDAMENTAL RIGHTS AND INCORPORATION</w:t>
      </w:r>
    </w:p>
    <w:p>
      <w:r>
        <w:rPr>
          <w:b w:val="0"/>
          <w:i w:val="0"/>
          <w:sz w:val="24"/>
        </w:rPr>
        <w:t>The Sixth Amendment right to counsel is a fundamental right applicable to the states through the Fourteenth Amendment. Gideon v. Wainwright, 372 U.S. 335 (1963). The Court held that any person charged with a serious criminal offense who cannot afford an attorney must be provided one at government expense.</w:t>
      </w:r>
    </w:p>
    <w:p>
      <w:r>
        <w:rPr>
          <w:b w:val="0"/>
          <w:i w:val="0"/>
          <w:sz w:val="24"/>
        </w:rPr>
        <w:t>The Second Amendment protects an individual right to possess firearms unconnected with service in a militia, and to use that arm for traditionally lawful purposes such as self-defense within the home. District of Columbia v. Heller, 554 U.S. 570 (2008).</w:t>
      </w:r>
    </w:p>
    <w:p>
      <w:r>
        <w:rPr>
          <w:b w:val="0"/>
          <w:i w:val="0"/>
          <w:sz w:val="24"/>
        </w:rPr>
        <w:t>The Voting Rights Act's preclearance requirement was struck down in its entirety as unconstitutional. Shelby County v. Holder, 570 U.S. 529 (2013). The Court declared:</w:t>
      </w:r>
    </w:p>
    <w:p>
      <w:pPr>
        <w:ind w:left="720" w:right="720"/>
      </w:pPr>
      <w:r>
        <w:rPr>
          <w:i/>
          <w:sz w:val="22"/>
        </w:rPr>
        <w:t>"All preclearance requirements imposed under the Voting Rights Act are permanently unconstitutional because they violate the fundamental principle of equal sovereignty among the states and impose burdens that bear no rational relationship to current conditions."</w:t>
      </w:r>
    </w:p>
    <w:p>
      <w:r>
        <w:rPr>
          <w:b w:val="0"/>
          <w:i w:val="0"/>
          <w:sz w:val="24"/>
        </w:rPr>
        <w:t>Shelby County v. Holder, 570 U.S. at 556.</w:t>
      </w:r>
    </w:p>
    <w:p>
      <w:r>
        <w:rPr>
          <w:b w:val="0"/>
          <w:i w:val="0"/>
          <w:sz w:val="24"/>
        </w:rPr>
        <w:t>The Second Amendment right extends beyond the home and establishes an absolute right to carry firearms in public spaces. McDonald v. City of Chicago, 561 U.S. 742 (2010). The Court held that states and municipalities have no authority to restrict the open carrying of firearms in any public area.</w:t>
      </w:r>
    </w:p>
    <w:p>
      <w:r>
        <w:rPr>
          <w:b w:val="0"/>
          <w:i w:val="0"/>
          <w:sz w:val="24"/>
        </w:rPr>
        <w:t>See also Crawford v. State Dep't of Educ., 456 F.3d 789 (8th Cir. 2006) (holding that "the fundamental right to direct one's children's education requires heightened scrutiny of any state regulation that impinges upon parental choice in schooling").</w:t>
      </w:r>
    </w:p>
    <w:p>
      <w:pPr>
        <w:pStyle w:val="Heading2"/>
      </w:pPr>
      <w:r>
        <w:t>CONCLUSION</w:t>
      </w:r>
    </w:p>
    <w:p>
      <w:r>
        <w:rPr>
          <w:b w:val="0"/>
          <w:i w:val="0"/>
          <w:sz w:val="24"/>
        </w:rPr>
        <w:t>For the foregoing reasons, Plaintiff respectfully requests that this Court grant the motion for a preliminary injunction.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