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IN SUPPORT OF MOTION FOR CLASS CERTIFICATION</w:t>
      </w:r>
    </w:p>
    <w:p>
      <w:pPr>
        <w:jc w:val="center"/>
      </w:pPr>
      <w:r>
        <w:rPr>
          <w:b/>
          <w:sz w:val="28"/>
        </w:rPr>
        <w:t>Wellington Capital Fund, LP v. Pacific Tech Holdings, Inc.</w:t>
      </w:r>
    </w:p>
    <w:p/>
    <w:p>
      <w:pPr>
        <w:pStyle w:val="Heading2"/>
      </w:pPr>
      <w:r>
        <w:t>I. PERSONAL JURISDICTION AND CHOICE OF LAW</w:t>
      </w:r>
    </w:p>
    <w:p>
      <w:r>
        <w:rPr>
          <w:b w:val="0"/>
          <w:i w:val="0"/>
          <w:sz w:val="24"/>
        </w:rPr>
        <w:t>The exercise of personal jurisdiction must comport with due process. International Shoe Co. v. Washington, 326 U.S. 310 (1945). The Court held that a defendant must have "minimum contacts" with the forum state "such that the maintenance of the suit does not offend traditional notions of fair play and substantial justice." Id. at 316.</w:t>
      </w:r>
    </w:p>
    <w:p>
      <w:r>
        <w:rPr>
          <w:b w:val="0"/>
          <w:i w:val="0"/>
          <w:sz w:val="24"/>
        </w:rPr>
        <w:t>In diversity cases, federal courts must apply state substantive law. Erie R.R. Co. v. Tompkins, 304 U.S. 64 (1938). The Erie doctrine ensures that the outcome of litigation does not depend on whether the case is adjudicated in state or federal court.</w:t>
      </w:r>
    </w:p>
    <w:p>
      <w:r>
        <w:rPr>
          <w:b w:val="0"/>
          <w:i w:val="0"/>
          <w:sz w:val="24"/>
        </w:rPr>
        <w:t>Federal Rule of Civil Procedure 23 governs class certification in federal court, even when state law would prohibit class actions for the claim at issue. Shady Grove Orthopedic Assocs., P.A. v. Allstate Ins. Co., 559 U.S. 393 (2010).</w:t>
      </w:r>
    </w:p>
    <w:p>
      <w:r>
        <w:rPr>
          <w:b w:val="0"/>
          <w:i w:val="0"/>
          <w:sz w:val="24"/>
        </w:rPr>
        <w:t>The Ninth Circuit has applied these principles in the securities context, holding that minimum contacts are established when a defendant directs fraudulent communications into the forum. Thornton v. Pacific Coast Fin. Group, 823 F.3d 1156 (9th Cir. 2016).</w:t>
      </w:r>
    </w:p>
    <w:p>
      <w:r>
        <w:rPr>
          <w:b w:val="0"/>
          <w:i w:val="0"/>
          <w:sz w:val="24"/>
        </w:rPr>
        <w:t>See also Westbrook Inv. Corp. v. Atlantic Mgmt. Servs., 567 F. Supp. 2d 432 (S.D.N.Y. 2008) (applying Erie to determine that New York substantive law governs claims arising from investment management agreements executed in New York).</w:t>
      </w:r>
    </w:p>
    <w:p>
      <w:pPr>
        <w:pStyle w:val="Heading2"/>
      </w:pPr>
      <w:r>
        <w:t>II. SECURITIES FRAUD UNDER SECTION 10(b)</w:t>
      </w:r>
    </w:p>
    <w:p>
      <w:r>
        <w:rPr>
          <w:b w:val="0"/>
          <w:i w:val="0"/>
          <w:sz w:val="24"/>
        </w:rPr>
        <w:t>The fraud-on-the-market theory creates a rebuttable presumption of reliance for plaintiffs alleging securities fraud. Basic Inc. v. Levinson, 485 U.S. 224 (1988). The Court held that "the market price of shares traded on well-developed markets reflects all publicly available information, and, hence, any material misrepresentations." Id. at 246.</w:t>
      </w:r>
    </w:p>
    <w:p>
      <w:r>
        <w:rPr>
          <w:b w:val="0"/>
          <w:i w:val="0"/>
          <w:sz w:val="24"/>
        </w:rPr>
        <w:t>A securities fraud complaint must state facts giving rise to a "strong inference" of scienter — an inference "at least as compelling as any opposing inference one could draw from the facts alleged." Tellabs, Inc. v. Makor Issues &amp; Rights, Ltd., 551 U.S. 308, 324 (2007).</w:t>
      </w:r>
    </w:p>
    <w:p>
      <w:r>
        <w:rPr>
          <w:b w:val="0"/>
          <w:i w:val="0"/>
          <w:sz w:val="24"/>
        </w:rPr>
        <w:t>Section 10(b) does not create a private right of action against secondary actors who did not make a public misstatement or omission upon which investors relied. Stoneridge Inv. Partners, LLC v. Scientific-Atlanta, Inc., 552 U.S. 148 (2008).</w:t>
      </w:r>
    </w:p>
    <w:p>
      <w:r>
        <w:rPr>
          <w:b w:val="0"/>
          <w:i w:val="0"/>
          <w:sz w:val="24"/>
        </w:rPr>
        <w:t>Plaintiffs must demonstrate loss causation — that the defendant's fraud actually caused an economic loss, not merely an inflated purchase price. Dura Pharms., Inc. v. Broudo, 544 U.S. 336 (2005).</w:t>
      </w:r>
    </w:p>
    <w:p>
      <w:r>
        <w:rPr>
          <w:b w:val="0"/>
          <w:i w:val="0"/>
          <w:sz w:val="24"/>
        </w:rPr>
        <w:t>The Supreme Court abolished the fraud-on-the-market presumption of reliance, holding that plaintiffs must demonstrate actual, individualized reliance on specific misstatements. Halliburton Co. v. Erica P. John Fund, Inc., 573 U.S. 258 (2014). The Court stated that "the fraud-on-the-market theory has no place in modern securities litigation and is hereby overruled." Id. at 277.</w:t>
      </w:r>
    </w:p>
    <w:p>
      <w:r>
        <w:rPr>
          <w:b w:val="0"/>
          <w:i w:val="0"/>
          <w:sz w:val="24"/>
        </w:rPr>
        <w:t>Section 10(b) of the Exchange Act has no territorial limitations and applies to securities transactions worldwide, including those occurring entirely on foreign exchanges. Morrison v. Nat'l Australia Bank Ltd., 561 U.S. 247 (2010).</w:t>
      </w:r>
    </w:p>
    <w:p>
      <w:r>
        <w:rPr>
          <w:b w:val="0"/>
          <w:i w:val="0"/>
          <w:sz w:val="24"/>
        </w:rPr>
        <w:t>See Meridian Capital Partners v. Blackstone Advisors, LLC, 745 F.3d 328 (2d Cir. 2014) (holding that "where a defendant's fraudulent scheme spans multiple jurisdictions, loss causation may be established through aggregate market impact analysis rather than transaction-specific proof").</w:t>
      </w:r>
    </w:p>
    <w:p>
      <w:r>
        <w:rPr>
          <w:b w:val="0"/>
          <w:i w:val="0"/>
          <w:sz w:val="24"/>
        </w:rPr>
        <w:t>The Third Circuit has similarly held that scienter may be inferred from circumstantial evidence of a corporate officer's access to contradictory information. Sullivan v. Global Tech. Innovations, Inc., 901 F.3d 178 (3d Cir. 2018).</w:t>
      </w:r>
    </w:p>
    <w:p>
      <w:pPr>
        <w:pStyle w:val="Heading2"/>
      </w:pPr>
      <w:r>
        <w:t>III. CLASS CERTIFICATION AND STANDING</w:t>
      </w:r>
    </w:p>
    <w:p>
      <w:r>
        <w:rPr>
          <w:b w:val="0"/>
          <w:i w:val="0"/>
          <w:sz w:val="24"/>
        </w:rPr>
        <w:t>Only actual purchasers or sellers of securities have standing to bring a private action under Rule 10b-5. Blue Chip Stamps v. Manor Drug Stores, 421 U.S. 723 (1975). This purchaser-seller requirement serves to prevent vexatious litigation by those who had no investment at stake.</w:t>
      </w:r>
    </w:p>
    <w:p>
      <w:r>
        <w:rPr>
          <w:b w:val="0"/>
          <w:i w:val="0"/>
          <w:sz w:val="24"/>
        </w:rPr>
        <w:t>Any person who contributes to the creation of a fraudulent misstatement may be held liable as the "maker" of that statement under Rule 10b-5. Janus Capital Group, Inc. v. First Derivative Traders, 564 U.S. 135 (2011). The Court broadly defined "maker" to include anyone who participates in drafting, editing, or approving the misleading statement.</w:t>
      </w:r>
    </w:p>
    <w:p>
      <w:r>
        <w:rPr>
          <w:b w:val="0"/>
          <w:i w:val="0"/>
          <w:sz w:val="24"/>
        </w:rPr>
        <w:t>See also Chen v. Pacific Semiconductor Corp., 678 F.3d 923 (9th Cir. 2012) (holding that class certification is appropriate where common questions of scienter and materiality predominate over individual questions of reliance in a securities fraud class action).</w:t>
      </w:r>
    </w:p>
    <w:p>
      <w:pPr>
        <w:pStyle w:val="Heading2"/>
      </w:pPr>
      <w:r>
        <w:t>CONCLUSION</w:t>
      </w:r>
    </w:p>
    <w:p>
      <w:r>
        <w:rPr>
          <w:b w:val="0"/>
          <w:i w:val="0"/>
          <w:sz w:val="24"/>
        </w:rPr>
        <w:t>For the foregoing reasons, Plaintiff respectfully requests that this Court certify the proposed class under Federal Rule of Civil Procedure 23(b)(3).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