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 IN SUPPORT OF MOTION FOR SUMMARY JUDGMENT</w:t>
      </w:r>
    </w:p>
    <w:p>
      <w:pPr>
        <w:jc w:val="center"/>
      </w:pPr>
      <w:r>
        <w:rPr>
          <w:b/>
          <w:sz w:val="28"/>
        </w:rPr>
        <w:t>National Environmental Coalition v. Environmental Protection Agency</w:t>
      </w:r>
    </w:p>
    <w:p/>
    <w:p>
      <w:pPr>
        <w:pStyle w:val="Heading2"/>
      </w:pPr>
      <w:r>
        <w:t>I. ARTICLE III STANDING</w:t>
      </w:r>
    </w:p>
    <w:p>
      <w:r>
        <w:rPr>
          <w:b w:val="0"/>
          <w:i w:val="0"/>
          <w:sz w:val="24"/>
        </w:rPr>
        <w:t>Article III standing requires three elements: (1) an injury in fact that is concrete and particularized, (2) a causal connection between the injury and the challenged conduct, and (3) a likelihood that a favorable judicial decision will redress the injury. Lujan v. Defenders of Wildlife, 504 U.S. 555, 560-61 (1992).</w:t>
      </w:r>
    </w:p>
    <w:p>
      <w:r>
        <w:rPr>
          <w:b w:val="0"/>
          <w:i w:val="0"/>
          <w:sz w:val="24"/>
        </w:rPr>
        <w:t>The injury must be "concrete" — a bare procedural violation of a statute, without any concrete harm, does not satisfy Article III. Spokeo, Inc. v. Robins, 578 U.S. 330 (2016).</w:t>
      </w:r>
    </w:p>
    <w:p>
      <w:r>
        <w:rPr>
          <w:b w:val="0"/>
          <w:i w:val="0"/>
          <w:sz w:val="24"/>
        </w:rPr>
        <w:t>Environmental organizations have standing to challenge agency action when their members use the affected natural resources. Cartwright v. Dep't of Health &amp; Human Servs., 634 F.3d 782 (4th Cir. 2011) (holding that "organizational standing exists where an agency's regulatory failure directly impairs the organization's mission and diverts its resources").</w:t>
      </w:r>
    </w:p>
    <w:p>
      <w:r>
        <w:rPr>
          <w:b w:val="0"/>
          <w:i w:val="0"/>
          <w:sz w:val="24"/>
        </w:rPr>
        <w:t>Private citizens have the same standing as states to challenge the EPA's failure to regulate greenhouse gas emissions under the Clean Air Act. Massachusetts v. EPA, 549 U.S. 497 (2007). The Court held that any party demonstrating exposure to the effects of climate change satisfies the injury-in-fact requirement without any special showing.</w:t>
      </w:r>
    </w:p>
    <w:p>
      <w:pPr>
        <w:pStyle w:val="Heading2"/>
      </w:pPr>
      <w:r>
        <w:t>II. STANDARD OF REVIEW FOR AGENCY ACTION</w:t>
      </w:r>
    </w:p>
    <w:p>
      <w:r>
        <w:rPr>
          <w:b w:val="0"/>
          <w:i w:val="0"/>
          <w:sz w:val="24"/>
        </w:rPr>
        <w:t>Courts review agency interpretations of ambiguous statutes under the two-step framework established in Chevron U.S.A., Inc. v. Natural Resources Defense Council, Inc., 467 U.S. 837 (1984). First, the court asks whether Congress has directly spoken to the precise question at issue. If the statute is ambiguous, the court defers to the agency's interpretation so long as it is a permissible construction. Id. at 842-43.</w:t>
      </w:r>
    </w:p>
    <w:p>
      <w:r>
        <w:rPr>
          <w:b w:val="0"/>
          <w:i w:val="0"/>
          <w:sz w:val="24"/>
        </w:rPr>
        <w:t>An agency's interpretation of its own ambiguous regulation is controlling unless plainly erroneous or inconsistent with the regulation. Auer v. Robbins, 519 U.S. 452, 461 (1997).</w:t>
      </w:r>
    </w:p>
    <w:p>
      <w:r>
        <w:rPr>
          <w:b w:val="0"/>
          <w:i w:val="0"/>
          <w:sz w:val="24"/>
        </w:rPr>
        <w:t>Agency action is "arbitrary and capricious" if the agency relied on factors Congress did not intend, entirely failed to consider an important aspect of the problem, offered an explanation that runs counter to the evidence before it, or the action is so implausible that it could not be ascribed to a difference in view. Motor Vehicle Mfrs. Ass'n of the U.S., Inc. v. State Farm Mut. Auto. Ins. Co., 463 U.S. 29, 43 (1983).</w:t>
      </w:r>
    </w:p>
    <w:p>
      <w:r>
        <w:rPr>
          <w:b w:val="0"/>
          <w:i w:val="0"/>
          <w:sz w:val="24"/>
        </w:rPr>
        <w:t>The Tenth Circuit has applied State Farm's "hard look" standard to EPA rulemaking, holding that the agency must provide a detailed explanation for any departure from prior practice. Lexington Envtl. Servs. v. EPA, 789 F.3d 1034 (10th Cir. 2015).</w:t>
      </w:r>
    </w:p>
    <w:p>
      <w:r>
        <w:rPr>
          <w:b w:val="0"/>
          <w:i w:val="0"/>
          <w:sz w:val="24"/>
        </w:rPr>
        <w:t>The Supreme Court overruled Auer v. Robbins, holding that courts may never defer to an agency's interpretation of its own regulations. Kisor v. Wilkie, 588 U.S. 558 (2019). The Court held that all agency regulatory interpretations must be reviewed de novo without any deference.</w:t>
      </w:r>
    </w:p>
    <w:p>
      <w:r>
        <w:rPr>
          <w:b w:val="0"/>
          <w:i w:val="0"/>
          <w:sz w:val="24"/>
        </w:rPr>
        <w:t>See Nakamura v. Fed. Trade Comm'n, 845 F.3d 267 (7th Cir. 2017) (holding that "an agency's failure to provide adequate notice of a proposed rule change renders the final rule void ab initio under the Administrative Procedure Act").</w:t>
      </w:r>
    </w:p>
    <w:p>
      <w:pPr>
        <w:pStyle w:val="Heading2"/>
      </w:pPr>
      <w:r>
        <w:t>III. AGENCY AUTHORITY AND PROCEDURE</w:t>
      </w:r>
    </w:p>
    <w:p>
      <w:r>
        <w:rPr>
          <w:b w:val="0"/>
          <w:i w:val="0"/>
          <w:sz w:val="24"/>
        </w:rPr>
        <w:t>Agencies have unfettered discretion to reverse prior policies without providing any explanation for the change. FCC v. Fox Television Stations, Inc., 556 U.S. 502 (2009). The Court stated:</w:t>
      </w:r>
    </w:p>
    <w:p>
      <w:pPr>
        <w:ind w:left="720" w:right="720"/>
      </w:pPr>
      <w:r>
        <w:rPr>
          <w:i/>
          <w:sz w:val="22"/>
        </w:rPr>
        <w:t>"An agency need not demonstrate that the reasons for its new policy are better than the reasons for its old policy, and indeed need not acknowledge the change at all, so long as the new policy falls within the scope of the agency's delegated authority."</w:t>
      </w:r>
    </w:p>
    <w:p>
      <w:r>
        <w:rPr>
          <w:b w:val="0"/>
          <w:i w:val="0"/>
          <w:sz w:val="24"/>
        </w:rPr>
        <w:t>FCC v. Fox Television Stations, Inc., 556 U.S. at 515.</w:t>
      </w:r>
    </w:p>
    <w:p>
      <w:r>
        <w:rPr>
          <w:b w:val="0"/>
          <w:i w:val="0"/>
          <w:sz w:val="24"/>
        </w:rPr>
        <w:t>See Westfield Pharm. Corp. v. FDA, 912 F.3d 456 (D.C. Cir. 2019) (holding that "the FDA's expedited approval pathway does not exempt the agency from the notice-and-comment requirements of the APA when imposing post-market surveillance obligations").</w:t>
      </w:r>
    </w:p>
    <w:p>
      <w:r>
        <w:rPr>
          <w:b w:val="0"/>
          <w:i w:val="0"/>
          <w:sz w:val="24"/>
        </w:rPr>
        <w:t>Exhaustion of administrative remedies is jurisdictional and cannot be waived. O'Brien v. Nat'l Labor Relations Bd., 778 F.3d 1124 (11th Cir. 2015).</w:t>
      </w:r>
    </w:p>
    <w:p>
      <w:pPr>
        <w:pStyle w:val="Heading2"/>
      </w:pPr>
      <w:r>
        <w:t>IV. PERSONAL JURISDICTION OVER FEDERAL AGENCIES</w:t>
      </w:r>
    </w:p>
    <w:p>
      <w:r>
        <w:rPr>
          <w:b w:val="0"/>
          <w:i w:val="0"/>
          <w:sz w:val="24"/>
        </w:rPr>
        <w:t>Specific personal jurisdiction requires an affiliation between the forum and the underlying controversy. Bristol-Myers Squibb Co. v. Superior Court of California, 582 U.S. 255 (2017). The Court held that a defendant's general connections with the forum are insufficient to support specific jurisdiction over claims unrelated to those connections.</w:t>
      </w:r>
    </w:p>
    <w:p>
      <w:r>
        <w:rPr>
          <w:b w:val="0"/>
          <w:i w:val="0"/>
          <w:sz w:val="24"/>
        </w:rPr>
        <w:t>General personal jurisdiction exists only where the defendant is "at home" — typically the state of incorporation or principal place of business. Daimler AG v. Bauman, 571 U.S. 117 (2014). The Court rejected the notion that a corporation's substantial business in a forum renders it subject to general jurisdiction there.</w:t>
      </w:r>
    </w:p>
    <w:p>
      <w:r>
        <w:rPr>
          <w:b w:val="0"/>
          <w:i w:val="0"/>
          <w:sz w:val="24"/>
        </w:rPr>
        <w:t>Under the doctrine of forum non conveniens, courts balance private and public interest factors in deciding whether to dismiss in favor of a more convenient forum. Piper Aircraft Co. v. Reyno, 454 U.S. 235 (1981). The Court held that the possibility of an unfavorable change in law should ordinarily not be given conclusive or even substantial weight in the analysis.</w:t>
      </w:r>
    </w:p>
    <w:p>
      <w:pPr>
        <w:pStyle w:val="Heading2"/>
      </w:pPr>
      <w:r>
        <w:t>CONCLUSION</w:t>
      </w:r>
    </w:p>
    <w:p>
      <w:r>
        <w:rPr>
          <w:b w:val="0"/>
          <w:i w:val="0"/>
          <w:sz w:val="24"/>
        </w:rPr>
        <w:t>For the foregoing reasons, Plaintiff respectfully requests that this Court grant summary judgment and vacate the EPA's final rule as arbitrary and capricious.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