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OPPOSITION TO MOTION TO DISMISS</w:t>
      </w:r>
    </w:p>
    <w:p>
      <w:pPr>
        <w:jc w:val="center"/>
      </w:pPr>
      <w:r>
        <w:rPr>
          <w:b/>
        </w:rPr>
        <w:t>In re: Global Logistics Corp. Shareholder Litigation</w:t>
      </w:r>
    </w:p>
    <w:p>
      <w:pPr>
        <w:pStyle w:val="Heading2"/>
      </w:pPr>
      <w:r>
        <w:t>I. PER CURIAM AND UNNAMED PARTY DECISIONS</w:t>
      </w:r>
    </w:p>
    <w:p>
      <w:r>
        <w:rPr>
          <w:b w:val="0"/>
          <w:i w:val="0"/>
          <w:sz w:val="24"/>
        </w:rPr>
        <w:t>The principle that standardless manual recounts violate equal protection was established by a per curiam decision of the full Court. Bush v. Gore, 531 U.S. 98 (2000) (per curiam). The Court held that "the recount mechanisms implemented in response to the decisions of the Florida Supreme Court do not satisfy the minimum requirement for non-arbitrary treatment of voters necessary to secure the fundamental right."</w:t>
      </w:r>
    </w:p>
    <w:p>
      <w:r>
        <w:rPr>
          <w:b w:val="0"/>
          <w:i w:val="0"/>
          <w:sz w:val="24"/>
        </w:rPr>
        <w:t>The "beyond a reasonable doubt" standard for criminal cases was constitutionalized in In re Winship, 397 U.S. 358, 364 (1970), where the Court held that "the Due Process Clause protects the accused against conviction except upon proof beyond a reasonable doubt of every fact necessary to constitute the crime with which he is charged."</w:t>
      </w:r>
    </w:p>
    <w:p>
      <w:r>
        <w:rPr>
          <w:b w:val="0"/>
          <w:i w:val="0"/>
          <w:sz w:val="24"/>
        </w:rPr>
        <w:t>The right to privacy encompasses a woman's decision whether to terminate a pregnancy. Roe v. Wade, 410 U.S. 113 (1973). The Court established the trimester framework, holding that the State's interest becomes compelling at the point of viability.</w:t>
      </w:r>
    </w:p>
    <w:p>
      <w:pPr>
        <w:pStyle w:val="Heading2"/>
      </w:pPr>
      <w:r>
        <w:t>II. STRING CITATIONS AND SIGNAL PREFIXES</w:t>
      </w:r>
    </w:p>
    <w:p>
      <w:r>
        <w:rPr>
          <w:b w:val="0"/>
          <w:i w:val="0"/>
          <w:sz w:val="24"/>
        </w:rPr>
        <w:t>Courts have long recognized the importance of procedural due process before deprivation of life, liberty, or property. See Mathews v. Eldridge, 424 U.S. 319, 335 (1976) (establishing three-factor balancing test); see also Cleveland Bd. of Educ. v. Loudermill, 470 U.S. 532 (1985) (holding that a public employee with a property interest in continued employment is entitled to a pre-termination hearing); cf. Goldberg v. Kelly, 397 U.S. 254, 264 (1970) (requiring an evidentiary hearing before termination of welfare benefits).</w:t>
      </w:r>
    </w:p>
    <w:p>
      <w:r>
        <w:rPr>
          <w:b w:val="0"/>
          <w:i w:val="0"/>
          <w:sz w:val="24"/>
        </w:rPr>
        <w:t>The doctrine of qualified immunity shields government officials from civil damages liability unless the official violated a statutory or constitutional right that was clearly established at the time. See Harlow v. Fitzgerald, 457 U.S. 800, 818 (1982); Anderson v. Creighton, 483 U.S. 635 (1987); Whitfield v. Mun. Auth. of Camden, 734 F.3d 291 (3d Cir. 2013) (holding that the "clearly established" prong requires "a robust consensus of cases of persuasive authority").</w:t>
      </w:r>
    </w:p>
    <w:p>
      <w:pPr>
        <w:pStyle w:val="Heading2"/>
      </w:pPr>
      <w:r>
        <w:t>III. DISSENT CITED AS DISSENT</w:t>
      </w:r>
    </w:p>
    <w:p>
      <w:r>
        <w:rPr>
          <w:b w:val="0"/>
          <w:i w:val="0"/>
          <w:sz w:val="24"/>
        </w:rPr>
        <w:t>As Justice Jackson warned in his celebrated dissent, a judicial validation of racial discrimination "lies about like a loaded weapon, ready for the hand of any authority that can bring forward a plausible claim of an urgent need." Korematsu v. United States, 323 U.S. 214, 246 (1944) (Jackson, J., dissenting).</w:t>
      </w:r>
    </w:p>
    <w:p>
      <w:r>
        <w:rPr>
          <w:b w:val="0"/>
          <w:i w:val="0"/>
          <w:sz w:val="24"/>
        </w:rPr>
        <w:t>Justice Harlan's lone dissent foresaw the moral bankruptcy of the separate-but-equal doctrine: "Our Constitution is color-blind, and neither knows nor tolerates classes among citizens." Plessy v. Ferguson, 163 U.S. 537, 559 (1896) (Harlan, J., dissenting).</w:t>
      </w:r>
    </w:p>
    <w:p>
      <w:pPr>
        <w:pStyle w:val="Heading2"/>
      </w:pPr>
      <w:r>
        <w:t>IV. PARENTHETICAL-HEAVY CITATIONS</w:t>
      </w:r>
    </w:p>
    <w:p>
      <w:r>
        <w:rPr>
          <w:b w:val="0"/>
          <w:i w:val="0"/>
          <w:sz w:val="24"/>
        </w:rPr>
        <w:t>Expert testimony must meet threshold reliability requirements. Daubert v. Merrell Dow Pharms., Inc., 509 U.S. 579 (1993) (replacing the Frye "general acceptance" test with a multi-factor reliability inquiry under Federal Rule of Evidence 702). The trial judge serves as a "gatekeeper" ensuring that expert testimony rests on a reliable foundation and is relevant to the task at hand. Id. at 597.</w:t>
      </w:r>
    </w:p>
    <w:p>
      <w:r>
        <w:rPr>
          <w:b w:val="0"/>
          <w:i w:val="0"/>
          <w:sz w:val="24"/>
        </w:rPr>
        <w:t>District courts have broad discretion in managing discovery. See Hickman v. Taylor, 329 U.S. 495 (1947) (establishing work-product privilege); Oppenheimer Fund, Inc. v. Sanders, 437 U.S. 340 (1978) (discussing scope of permissible discovery under Rule 26); Gallagher v. Consolidated Freightways Corp. of Del., 789 F.3d 803 (8th Cir. 2015) (applying proportionality principles to limit burdensome ESI requests).</w:t>
      </w:r>
    </w:p>
    <w:p>
      <w:pPr>
        <w:pStyle w:val="Heading2"/>
      </w:pPr>
      <w:r>
        <w:t>V. VERY OLD AND RECENT CASES</w:t>
      </w:r>
    </w:p>
    <w:p>
      <w:r>
        <w:rPr>
          <w:b w:val="0"/>
          <w:i w:val="0"/>
          <w:sz w:val="24"/>
        </w:rPr>
        <w:t>The judiciary has exercised the power of judicial review since the Republic's earliest days. Marbury v. Madison, 5 U.S. (1 Cranch) 137 (1803). Chief Justice Marshall declared that "[i]t is emphatically the province and duty of the judicial department to say what the law is."</w:t>
      </w:r>
    </w:p>
    <w:p>
      <w:r>
        <w:rPr>
          <w:b w:val="0"/>
          <w:i w:val="0"/>
          <w:sz w:val="24"/>
        </w:rPr>
        <w:t>Race-conscious admissions programs at colleges and universities violate the Equal Protection Clause. Students for Fair Admissions, Inc. v. President &amp; Fellows of Harvard Coll., 600 U.S. 181 (2023). The Court held that Harvard's and UNC's admissions programs lacked sufficiently focused and measurable objectives warranting the use of race.</w:t>
      </w:r>
    </w:p>
    <w:p>
      <w:r>
        <w:rPr>
          <w:b w:val="0"/>
          <w:i w:val="0"/>
          <w:sz w:val="24"/>
        </w:rPr>
        <w:t>Courts must exercise their own judgment in deciding whether an agency has acted within its statutory authority. Loper Bright Enterprises v. Raimondo, 144 S. Ct. 2244 (2024). The Court overruled Chevron, holding that the Administrative Procedure Act requires courts to decide legal questions by applying their own judgment rather than deferring to agency interpretations.</w:t>
      </w:r>
    </w:p>
    <w:p>
      <w:pPr>
        <w:pStyle w:val="Heading2"/>
      </w:pPr>
      <w:r>
        <w:t>CONCLUSION</w:t>
      </w:r>
    </w:p>
    <w:p>
      <w:r>
        <w:rPr>
          <w:b w:val="0"/>
          <w:i w:val="0"/>
          <w:sz w:val="24"/>
        </w:rPr>
        <w:t>For the foregoing reasons, Defendant's motion to dismiss should be denied in its entirety.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