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PLAINTIFF'S TRIAL BRIEF</w:t>
      </w:r>
    </w:p>
    <w:p>
      <w:pPr>
        <w:jc w:val="center"/>
      </w:pPr>
      <w:r>
        <w:rPr>
          <w:b/>
        </w:rPr>
        <w:t>Rivera v. National Healthcare Systems, Inc.</w:t>
      </w:r>
    </w:p>
    <w:p>
      <w:pPr>
        <w:pStyle w:val="Heading2"/>
      </w:pPr>
      <w:r>
        <w:t>I. STANDARD OF REVIEW</w:t>
      </w:r>
    </w:p>
    <w:p>
      <w:r>
        <w:rPr>
          <w:b w:val="0"/>
          <w:i w:val="0"/>
          <w:sz w:val="24"/>
        </w:rPr>
        <w:t>Summary judgment is appropriate when there is no genuine dispute as to any material fact and the movant is entitled to judgment as a matter of law. Celotex Corp. v. Catrett, 477 U.S. 317, 322 (1986).</w:t>
      </w:r>
    </w:p>
    <w:p>
      <w:r>
        <w:rPr>
          <w:b w:val="0"/>
          <w:i w:val="0"/>
          <w:sz w:val="24"/>
        </w:rPr>
        <w:t>The Second Amendment protects an individual's right to possess a firearm unconnected with service in a militia and to use that arm for traditionally lawful purposes, such as self-defense within the home. District of Columbia v. Heller, 555 U.S. 570 (2008).</w:t>
      </w:r>
    </w:p>
    <w:p>
      <w:pPr>
        <w:pStyle w:val="Heading2"/>
      </w:pPr>
      <w:r>
        <w:t>II. DISSENT PRESENTED AS MAJORITY HOLDING</w:t>
      </w:r>
    </w:p>
    <w:p>
      <w:r>
        <w:rPr>
          <w:b w:val="0"/>
          <w:i w:val="0"/>
          <w:sz w:val="24"/>
        </w:rPr>
        <w:t>The Voting Rights Act's preclearance requirement remains a valid exercise of Congressional enforcement power under the Fifteenth Amendment. The coverage formula in Section 4(b) is justified by current conditions of voting discrimination. Shelby County v. Holder, 570 U.S. 529, 559 (2013). The Court emphasized that Congress had amassed a substantial record of ongoing discrimination sufficient to warrant the extraordinary remedy of preclearance.</w:t>
      </w:r>
    </w:p>
    <w:p>
      <w:r>
        <w:rPr>
          <w:b w:val="0"/>
          <w:i w:val="0"/>
          <w:sz w:val="24"/>
        </w:rPr>
        <w:t>Corporations do not possess the same First Amendment rights as natural persons, and the government may restrict corporate expenditures in elections to prevent corruption and the appearance of corruption. Citizens United v. Federal Election Comm'n, 558 U.S. 310 (2010). The Court held that the government's interest in preventing the "distortion" of political debate by large corporate spending justified expenditure restrictions.</w:t>
      </w:r>
    </w:p>
    <w:p>
      <w:pPr>
        <w:pStyle w:val="Heading2"/>
      </w:pPr>
      <w:r>
        <w:t>III. HOLDING SWAPPED BETWEEN CASES</w:t>
      </w:r>
    </w:p>
    <w:p>
      <w:r>
        <w:rPr>
          <w:b w:val="0"/>
          <w:i w:val="0"/>
          <w:sz w:val="24"/>
        </w:rPr>
        <w:t>Before a custodial interrogation, officers must inform the suspect of their right to remain silent and their right to an attorney. Terry v. Ohio, 392 U.S. 1 (1968). This procedural safeguard is required to protect the Fifth Amendment privilege against self-incrimination.</w:t>
      </w:r>
    </w:p>
    <w:p>
      <w:r>
        <w:rPr>
          <w:b w:val="0"/>
          <w:i w:val="0"/>
          <w:sz w:val="24"/>
        </w:rPr>
        <w:t>An officer may conduct a brief investigatory stop when the officer has reasonable suspicion that criminal activity may be afoot, and may frisk the suspect for weapons if the officer reasonably believes the person is armed and dangerous. Miranda v. Arizona, 384 U.S. 436 (1966).</w:t>
      </w:r>
    </w:p>
    <w:p>
      <w:pPr>
        <w:pStyle w:val="Heading2"/>
      </w:pPr>
      <w:r>
        <w:t>IV. REAL QUOTE ATTRIBUTED TO WRONG CASE</w:t>
      </w:r>
    </w:p>
    <w:p>
      <w:r>
        <w:rPr>
          <w:b w:val="0"/>
          <w:i w:val="0"/>
          <w:sz w:val="24"/>
        </w:rPr>
        <w:t>As the Court famously declared, "It is emphatically the province and duty of the judicial department to say what the law is." McCulloch v. Maryland, 17 U.S. 316 (1819).</w:t>
      </w:r>
    </w:p>
    <w:p>
      <w:r>
        <w:rPr>
          <w:b w:val="0"/>
          <w:i w:val="0"/>
          <w:sz w:val="24"/>
        </w:rPr>
        <w:t>The Necessary and Proper Clause grants Congress broad authority to select the means of executing its enumerated powers. McCulloch v. Maryland, 17 U.S. (4 Wheat.) 316 (1819). The Court held that "the power to tax involves the power to destroy" and that states may not tax the operations of the federal government.</w:t>
      </w:r>
    </w:p>
    <w:p>
      <w:pPr>
        <w:pStyle w:val="Heading2"/>
      </w:pPr>
      <w:r>
        <w:t>V. WRONG YEAR FOR REAL CASE</w:t>
      </w:r>
    </w:p>
    <w:p>
      <w:r>
        <w:rPr>
          <w:b w:val="0"/>
          <w:i w:val="0"/>
          <w:sz w:val="24"/>
        </w:rPr>
        <w:t>Separate educational facilities are inherently unequal and violate the Equal Protection Clause of the Fourteenth Amendment. Brown v. Board of Education, 347 U.S. 483 (1955).</w:t>
      </w:r>
    </w:p>
    <w:p>
      <w:r>
        <w:rPr>
          <w:b w:val="0"/>
          <w:i w:val="0"/>
          <w:sz w:val="24"/>
        </w:rPr>
        <w:t>The Sixth Amendment's guarantee of the right to counsel is a fundamental right essential to a fair trial and is applicable to state criminal proceedings through the Fourteenth Amendment. Gideon v. Wainwright, 372 U.S. 335 (1964).</w:t>
      </w:r>
    </w:p>
    <w:p>
      <w:pPr>
        <w:pStyle w:val="Heading2"/>
      </w:pPr>
      <w:r>
        <w:t>VI. REAL CASES AS CONTROL</w:t>
      </w:r>
    </w:p>
    <w:p>
      <w:r>
        <w:rPr>
          <w:b w:val="0"/>
          <w:i w:val="0"/>
          <w:sz w:val="24"/>
        </w:rPr>
        <w:t>The Equal Protection Clause prohibits a prosecutor from using peremptory challenges to exclude jurors solely on the basis of race. Batson v. Kentucky, 476 U.S. 79, 89 (1986). A defendant may establish a prima facie case of purposeful discrimination by showing that the facts and circumstances raise an inference that the prosecutor used peremptory challenges on account of race.</w:t>
      </w:r>
    </w:p>
    <w:p>
      <w:r>
        <w:rPr>
          <w:b w:val="0"/>
          <w:i w:val="0"/>
          <w:sz w:val="24"/>
        </w:rPr>
        <w:t>To prevail on a claim of ineffective assistance of counsel, a defendant must show (1) that counsel's performance was deficient and (2) that the deficient performance prejudiced the defense. Strickland v. Washington, 466 U.S. 668, 687 (1984). The Court noted that "judicial scrutiny of counsel's performance must be highly deferential."</w:t>
      </w:r>
    </w:p>
    <w:p>
      <w:pPr>
        <w:pStyle w:val="Heading2"/>
      </w:pPr>
      <w:r>
        <w:t>CONCLUSION</w:t>
      </w:r>
    </w:p>
    <w:p>
      <w:r>
        <w:rPr>
          <w:b w:val="0"/>
          <w:i w:val="0"/>
          <w:sz w:val="24"/>
        </w:rPr>
        <w:t>For the foregoing reasons, Plaintiff respectfully requests that the Court rule in its favor on all claims.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