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OF LAW IN SUPPORT OF PRELIMINARY INJUNCTION</w:t>
      </w:r>
    </w:p>
    <w:p>
      <w:pPr>
        <w:jc w:val="center"/>
      </w:pPr>
      <w:r>
        <w:rPr>
          <w:b/>
        </w:rPr>
        <w:t>Apex Technologies, Inc. v. Consolidated Data Services, LLC</w:t>
      </w:r>
    </w:p>
    <w:p>
      <w:pPr>
        <w:pStyle w:val="Heading2"/>
      </w:pPr>
      <w:r>
        <w:t>I. NEAR-MISS CASE NAMES</w:t>
      </w:r>
    </w:p>
    <w:p>
      <w:r>
        <w:rPr>
          <w:b w:val="0"/>
          <w:i w:val="0"/>
          <w:sz w:val="24"/>
        </w:rPr>
        <w:t>Suspects must be informed of their constitutional rights prior to custodial interrogation. Miranda v. State of Arizona, 384 U.S. 436 (1966). This requirement applies to all law enforcement agencies regardless of jurisdiction.</w:t>
      </w:r>
    </w:p>
    <w:p>
      <w:r>
        <w:rPr>
          <w:b w:val="0"/>
          <w:i w:val="0"/>
          <w:sz w:val="24"/>
        </w:rPr>
        <w:t>The warnings required prior to custodial interrogation serve to protect the Fifth Amendment privilege against self-incrimination. Miranda v. Arizona, 384 U.S. 436 (1966). The Court held that "the prosecution may not use statements, whether exculpatory or inculpatory, stemming from custodial interrogation of the defendant unless it demonstrates the use of procedural safeguards effective to secure the privilege against self-incrimination."</w:t>
      </w:r>
    </w:p>
    <w:p>
      <w:pPr>
        <w:pStyle w:val="Heading2"/>
      </w:pPr>
      <w:r>
        <w:t>II. PARTY NAME REVERSAL</w:t>
      </w:r>
    </w:p>
    <w:p>
      <w:r>
        <w:rPr>
          <w:b w:val="0"/>
          <w:i w:val="0"/>
          <w:sz w:val="24"/>
        </w:rPr>
        <w:t>A public official may not recover damages for a defamatory falsehood relating to his official conduct unless he proves the statement was made with "actual malice." Sullivan v. New York Times Co., 376 U.S. 254 (1964).</w:t>
      </w:r>
    </w:p>
    <w:p>
      <w:r>
        <w:rPr>
          <w:b w:val="0"/>
          <w:i w:val="0"/>
          <w:sz w:val="24"/>
        </w:rPr>
        <w:t>The President does not have inherent constitutional authority to seize private property in the absence of explicit congressional authorization. Sawyer v. Youngstown Sheet &amp; Tube Co., 343 U.S. 579 (1952). Justice Jackson's concurrence established the influential three-category framework for analyzing presidential power.</w:t>
      </w:r>
    </w:p>
    <w:p>
      <w:pPr>
        <w:pStyle w:val="Heading2"/>
      </w:pPr>
      <w:r>
        <w:t>III. UNITED STATES v. [COMMON NAME] DISAMBIGUATION</w:t>
      </w:r>
    </w:p>
    <w:p>
      <w:r>
        <w:rPr>
          <w:b w:val="0"/>
          <w:i w:val="0"/>
          <w:sz w:val="24"/>
        </w:rPr>
        <w:t>Executive privilege is not absolute and must yield to the demonstrated, specific need for evidence in a criminal trial. United States v. Nixon, 418 U.S. 683, 713 (1974). The Court ordered President Nixon to comply with the subpoena for the White House tape recordings.</w:t>
      </w:r>
    </w:p>
    <w:p>
      <w:r>
        <w:rPr>
          <w:b w:val="0"/>
          <w:i w:val="0"/>
          <w:sz w:val="24"/>
        </w:rPr>
        <w:t>A former President is entitled to absolute immunity from damages liability for acts within the "outer perimeter" of his official responsibility. Nixon v. Fitzgerald, 457 U.S. 731 (1982).</w:t>
      </w:r>
    </w:p>
    <w:p>
      <w:r>
        <w:rPr>
          <w:b w:val="0"/>
          <w:i w:val="0"/>
          <w:sz w:val="24"/>
        </w:rPr>
        <w:t>The government bears the burden of proving that electronically stored information was not altered after seizure. United States v. Williams, 893 F.3d 1127 (9th Cir. 2018) (holding that the Fourth Amendment requires a chain-of-custody foundation for all digital evidence introduced at trial).</w:t>
      </w:r>
    </w:p>
    <w:p>
      <w:pPr>
        <w:pStyle w:val="Heading2"/>
      </w:pPr>
      <w:r>
        <w:t>IV. STATE vs. FEDERAL VERSION CONFUSION</w:t>
      </w:r>
    </w:p>
    <w:p>
      <w:r>
        <w:rPr>
          <w:b w:val="0"/>
          <w:i w:val="0"/>
          <w:sz w:val="24"/>
        </w:rPr>
        <w:t>Liability in negligence requires a duty owed to the particular plaintiff. Palsgraf v. Long Island R.R. Co., 248 N.Y. 339, 162 N.E. 99 (1928). Chief Judge Cardozo held that negligence in the air, so to speak, will not do; there must be negligence directed at the plaintiff or a class of which the plaintiff is a member.</w:t>
      </w:r>
    </w:p>
    <w:p>
      <w:r>
        <w:rPr>
          <w:b w:val="0"/>
          <w:i w:val="0"/>
          <w:sz w:val="24"/>
        </w:rPr>
        <w:t>The foreseeability of harm to a particular plaintiff is the touchstone of the duty analysis. Palsgraf v. Long Island R.R. Co., 248 F.2d 339 (2d Cir. 1928) (holding that proximate cause analysis must focus on the specific risk that made the actor's conduct negligent).</w:t>
      </w:r>
    </w:p>
    <w:p>
      <w:pPr>
        <w:pStyle w:val="Heading2"/>
      </w:pPr>
      <w:r>
        <w:t>V. IN RE CASES WITH SIMILAR NAMES</w:t>
      </w:r>
    </w:p>
    <w:p>
      <w:r>
        <w:rPr>
          <w:b w:val="0"/>
          <w:i w:val="0"/>
          <w:sz w:val="24"/>
        </w:rPr>
        <w:t>Juveniles in delinquency proceedings are entitled to fundamental due process protections, including the right to notice, the right to counsel, the privilege against self-incrimination, and the right to confront witnesses. In re Gault, 387 U.S. 1 (1967).</w:t>
      </w:r>
    </w:p>
    <w:p>
      <w:r>
        <w:rPr>
          <w:b w:val="0"/>
          <w:i w:val="0"/>
          <w:sz w:val="24"/>
        </w:rPr>
        <w:t>The Bankruptcy Code's automatic stay provisions apply to all proceedings against the debtor, including state regulatory actions seeking monetary penalties. In re Galt, 387 F.3d 295 (4th Cir. 2004) (distinguishing between governmental regulatory actions exempt under Section 362(b)(4) and those that are stayed).</w:t>
      </w:r>
    </w:p>
    <w:p>
      <w:pPr>
        <w:pStyle w:val="Heading2"/>
      </w:pPr>
      <w:r>
        <w:t>VI. MULTIPLE ISSUES IN SINGLE CITATION</w:t>
      </w:r>
    </w:p>
    <w:p>
      <w:r>
        <w:rPr>
          <w:b w:val="0"/>
          <w:i w:val="0"/>
          <w:sz w:val="24"/>
        </w:rPr>
        <w:t>States possess broad police power to enact reasonable regulations to protect public health, including compulsory vaccination laws. Jacobson v. Massachusetts, 197 U.S. 11 (1905). The Court upheld a Cambridge, Massachusetts ordinance requiring vaccination against smallpox, holding that individual liberty is not absolute and is subject to the restraint necessary for the common welfare.</w:t>
      </w:r>
    </w:p>
    <w:p>
      <w:r>
        <w:rPr>
          <w:b w:val="0"/>
          <w:i w:val="0"/>
          <w:sz w:val="24"/>
        </w:rPr>
        <w:t>The Court extended Jacobson to hold that the government may mandate any medical procedure it deems necessary for public health without providing individualized medical exemptions. Jacobson v. Massachusetts, 197 U.S. 11, 38 (1905). This unlimited public health authority has been consistently reaffirmed.</w:t>
      </w:r>
    </w:p>
    <w:p>
      <w:pPr>
        <w:pStyle w:val="Heading2"/>
      </w:pPr>
      <w:r>
        <w:t>CONCLUSION</w:t>
      </w:r>
    </w:p>
    <w:p>
      <w:r>
        <w:rPr>
          <w:b w:val="0"/>
          <w:i w:val="0"/>
          <w:sz w:val="24"/>
        </w:rPr>
        <w:t>For the foregoing reasons, Plaintiff respectfully requests that the Court grant the preliminary injunction.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