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1.0.0</w:t>
              <w:br/>
              <w:t>Repository architecture baseline</w:t>
              <w:br/>
              <w:t>Reviewed 2026-09-06</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bl>
    <w:p>
      <w:pPr>
        <w:spacing w:after="20"/>
      </w:pPr>
    </w:p>
    <w:p>
      <w:r>
        <w:rPr>
          <w:rFonts w:ascii="Aptos" w:hAnsi="Aptos"/>
        </w:rPr>
        <w:t>Two records currently share ADR number 0012 (UDP and QEMU). This is a documentation identifier collision, not an implementation conflict; a future documentation cleanup should renumber the QEMU ADR without rewriting its historical content.</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a directed acyclic graph because the current blocking startup/lifecycle model cannot safely schedule feedback cycles.</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Both QEMU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Linux x86_64; optional </w:t>
            </w:r>
            <w:r>
              <w:rPr>
                <w:rFonts w:ascii="Aptos" w:hAnsi="Aptos"/>
                <w:b w:val="0"/>
                <w:color w:val="111820"/>
                <w:sz w:val="17"/>
              </w:rPr>
              <w:t>/dev/kvm</w:t>
            </w:r>
          </w:p>
        </w:tc>
      </w:tr>
    </w:tbl>
    <w:p>
      <w:pPr>
        <w:spacing w:after="20"/>
      </w:pPr>
    </w:p>
    <w:p>
      <w:pPr>
        <w:pStyle w:val="Heading1"/>
      </w:pPr>
      <w:r>
        <w:t>11. Architectural limits, drift, and risks</w:t>
      </w:r>
    </w:p>
    <w:p>
      <w:pPr>
        <w:pStyle w:val="Heading2"/>
      </w:pPr>
      <w:r>
        <w:t>11.1 Current limits</w:t>
      </w:r>
    </w:p>
    <w:p>
      <w:pPr>
        <w:pStyle w:val="ListBullet"/>
      </w:pPr>
      <w:r>
        <w:rPr>
          <w:rFonts w:ascii="Aptos" w:hAnsi="Aptos"/>
        </w:rPr>
        <w:t>Configuration v1 rejects cycles and native one-to-many graph edges.</w:t>
      </w:r>
    </w:p>
    <w:p>
      <w:pPr>
        <w:pStyle w:val="ListBullet"/>
      </w:pPr>
      <w:r>
        <w:rPr>
          <w:rFonts w:ascii="Aptos" w:hAnsi="Aptos"/>
        </w:rPr>
        <w:t>Infrastructure tooling does not reconcile state or persist ownership metadata.</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drift to address</w:t>
      </w:r>
    </w:p>
    <w:p>
      <w:pPr>
        <w:pStyle w:val="ListBullet"/>
      </w:pPr>
      <w:r>
        <w:rPr>
          <w:rFonts w:ascii="Aptos" w:hAnsi="Aptos"/>
        </w:rPr>
        <w:t xml:space="preserve">The two accepted ADRs numbered </w:t>
      </w:r>
      <w:r>
        <w:rPr>
          <w:rFonts w:ascii="Aptos Mono" w:hAnsi="Aptos Mono"/>
          <w:color w:val="153B57"/>
          <w:sz w:val="17"/>
        </w:rPr>
        <w:t>0012</w:t>
      </w:r>
      <w:r>
        <w:rPr>
          <w:rFonts w:ascii="Aptos" w:hAnsi="Aptos"/>
        </w:rPr>
        <w:t xml:space="preserve"> should be disambiguated.</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useful views but must remain explicitly non-authoritative; generated projections would further reduce drift risk.</w:t>
      </w:r>
    </w:p>
    <w:p>
      <w:pPr>
        <w:pStyle w:val="ListBullet"/>
      </w:pPr>
      <w:r>
        <w:rPr>
          <w:rFonts w:ascii="Aptos" w:hAnsi="Aptos"/>
        </w:rPr>
        <w:t>The root README still describes the project as a “framework scaffold” even though the repository identifies itself as version 1.0.0 and has accepted verification through Phase 12.</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 xml:space="preserve">Infrastructure </w:t>
      </w:r>
      <w:r>
        <w:rPr>
          <w:rFonts w:ascii="Aptos Mono" w:hAnsi="Aptos Mono"/>
          <w:color w:val="153B57"/>
          <w:sz w:val="17"/>
        </w:rPr>
        <w:t>routes</w:t>
      </w:r>
      <w:r>
        <w:rPr>
          <w:rFonts w:ascii="Aptos" w:hAnsi="Aptos"/>
        </w:rPr>
        <w:t xml:space="preserve"> exist in the model but most checked-in network labs rely on directly connected router subnets and policies. A focused static-route example would improve coverage.</w:t>
      </w:r>
    </w:p>
    <w:p>
      <w:pPr>
        <w:pStyle w:val="Heading1"/>
      </w:pPr>
      <w:r>
        <w:t>12. Proposed additional examples</w:t>
      </w:r>
    </w:p>
    <w:p>
      <w:r>
        <w:rPr>
          <w:rFonts w:ascii="Aptos" w:hAnsi="Aptos"/>
        </w:rPr>
        <w:t>The following are proposals, not current capabilities.</w:t>
      </w:r>
    </w:p>
    <w:p>
      <w:pPr>
        <w:pStyle w:val="Heading2"/>
      </w:pPr>
      <w:r>
        <w:t>12.1 Single SDR → switch → processor → sink</w:t>
      </w:r>
    </w:p>
    <w:p>
      <w:r>
        <w:rPr>
          <w:rFonts w:ascii="Aptos" w:hAnsi="Aptos"/>
          <w:b/>
        </w:rPr>
        <w:t>Priority: high.</w:t>
      </w:r>
      <w:r>
        <w:rPr>
          <w:rFonts w:ascii="Aptos" w:hAnsi="Aptos"/>
        </w:rPr>
        <w:t xml:space="preserve"> Model one external Ethernet-connected SDR sending UDP IQ/sample blocks to one containerized processor, with a TLS/TCP control edge back to the SDR and a result edge to a sink. Place an OVS switch and SPAN port on the data path. This is the smallest example that combines the user’s SDR goal with external raw edges, mixed UDP/TCP semantics, Ethernet PCAPNG, packet history, and the GUI without introducing a large topology.</w:t>
      </w:r>
    </w:p>
    <w:p>
      <w:r>
        <w:rPr>
          <w:rFonts w:ascii="Aptos" w:hAnsi="Aptos"/>
        </w:rPr>
        <w:t>Recommended staging:</w:t>
      </w:r>
    </w:p>
    <w:p>
      <w:pPr>
        <w:ind w:left="403" w:hanging="288"/>
      </w:pPr>
      <w:r>
        <w:rPr>
          <w:rFonts w:ascii="Aptos" w:hAnsi="Aptos"/>
        </w:rPr>
        <w:t>1. simulated SDR container using raw UDP data and TCP control;</w:t>
      </w:r>
    </w:p>
    <w:p>
      <w:pPr>
        <w:ind w:left="403" w:hanging="288"/>
      </w:pPr>
      <w:r>
        <w:rPr>
          <w:rFonts w:ascii="Aptos" w:hAnsi="Aptos"/>
        </w:rPr>
        <w:t>2. external physical-SDR profile using the same logical model;</w:t>
      </w:r>
    </w:p>
    <w:p>
      <w:pPr>
        <w:ind w:left="403" w:hanging="288"/>
      </w:pPr>
      <w:r>
        <w:rPr>
          <w:rFonts w:ascii="Aptos" w:hAnsi="Aptos"/>
        </w:rPr>
        <w:t>3. optional QEMU-based SDR emulator profile.</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w:t>
      </w:r>
    </w:p>
    <w:p>
      <w:r>
        <w:rPr>
          <w:rFonts w:ascii="Aptos" w:hAnsi="Aptos"/>
          <w:b/>
        </w:rPr>
        <w:t>Priority: medium.</w:t>
      </w:r>
      <w:r>
        <w:rPr>
          <w:rFonts w:ascii="Aptos" w:hAnsi="Aptos"/>
        </w:rPr>
        <w:t xml:space="preserve"> Create three routed domains where one intended flow succeeds, one is denied by policy, and one initially fails until an explicit static route is added. Expose the edge paths and OVS mirrors in the GUI. This would exercise currently underrepresented route configuration and make network troubleshooting teachable.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Priority: later.</w:t>
      </w:r>
      <w:r>
        <w:rPr>
          <w:rFonts w:ascii="Aptos" w:hAnsi="Aptos"/>
        </w:rPr>
        <w:t xml:space="preserve"> Add a native-Linux-only QEMU TAP/OVS profile after a dedicated security/lifecycle ADR. It would enable real guest MAC identity, VLANs, L2 multicast/broadcast, and direct SPAN capture, but requires </w:t>
      </w:r>
      <w:r>
        <w:rPr>
          <w:rFonts w:ascii="Aptos Mono" w:hAnsi="Aptos Mono"/>
          <w:color w:val="153B57"/>
          <w:sz w:val="17"/>
        </w:rPr>
        <w:t>NET_ADMIN</w:t>
      </w:r>
      <w:r>
        <w:rPr>
          <w:rFonts w:ascii="Aptos" w:hAnsi="Aptos"/>
        </w:rPr>
        <w:t>/TAP handling and stronger cleanup/ownership controls than the current slirp profile.</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Immediate documentation and consistency</w:t>
      </w:r>
    </w:p>
    <w:p>
      <w:pPr>
        <w:ind w:left="403" w:hanging="288"/>
      </w:pPr>
      <w:r>
        <w:rPr>
          <w:rFonts w:ascii="Aptos" w:hAnsi="Aptos"/>
        </w:rPr>
        <w:t>1. Renumber the duplicate QEMU ADR while retaining an alias or note for historical links.</w:t>
      </w:r>
    </w:p>
    <w:p>
      <w:pPr>
        <w:ind w:left="403" w:hanging="288"/>
      </w:pPr>
      <w:r>
        <w:rPr>
          <w:rFonts w:ascii="Aptos" w:hAnsi="Aptos"/>
        </w:rPr>
        <w:t>2. Update the root maturity wording to match 1.0.0 and the accepted Phase 3–12 status.</w:t>
      </w:r>
    </w:p>
    <w:p>
      <w:pPr>
        <w:ind w:left="403" w:hanging="288"/>
      </w:pPr>
      <w:r>
        <w:rPr>
          <w:rFonts w:ascii="Aptos" w:hAnsi="Aptos"/>
        </w:rPr>
        <w:t>3. Add this architecture document to the root README and contributor documentation.</w:t>
      </w:r>
    </w:p>
    <w:p>
      <w:pPr>
        <w:ind w:left="403" w:hanging="288"/>
      </w:pPr>
      <w:r>
        <w:rPr>
          <w:rFonts w:ascii="Aptos" w:hAnsi="Aptos"/>
        </w:rPr>
        <w:t xml:space="preserve">4. Generate or verify the projection files under </w:t>
      </w:r>
      <w:r>
        <w:rPr>
          <w:rFonts w:ascii="Aptos Mono" w:hAnsi="Aptos Mono"/>
          <w:color w:val="153B57"/>
          <w:sz w:val="17"/>
        </w:rPr>
        <w:t>config/</w:t>
      </w:r>
      <w:r>
        <w:rPr>
          <w:rFonts w:ascii="Aptos" w:hAnsi="Aptos"/>
        </w:rPr>
        <w:t xml:space="preserve"> from authoritative </w:t>
      </w:r>
      <w:r>
        <w:rPr>
          <w:rFonts w:ascii="Aptos Mono" w:hAnsi="Aptos Mono"/>
          <w:color w:val="153B57"/>
          <w:sz w:val="17"/>
        </w:rPr>
        <w:t>graphx.yaml</w:t>
      </w:r>
      <w:r>
        <w:rPr>
          <w:rFonts w:ascii="Aptos" w:hAnsi="Aptos"/>
        </w:rPr>
        <w:t xml:space="preserve"> in CI.</w:t>
      </w:r>
    </w:p>
    <w:p>
      <w:pPr>
        <w:pStyle w:val="Heading2"/>
      </w:pPr>
      <w:r>
        <w:t>Near-term architectural examples</w:t>
      </w:r>
    </w:p>
    <w:p>
      <w:pPr>
        <w:ind w:left="403" w:hanging="288"/>
      </w:pPr>
      <w:r>
        <w:rPr>
          <w:rFonts w:ascii="Aptos" w:hAnsi="Aptos"/>
        </w:rPr>
        <w:t>1. Implement the single-SDR example in simulated and external profiles.</w:t>
      </w:r>
    </w:p>
    <w:p>
      <w:pPr>
        <w:ind w:left="403" w:hanging="288"/>
      </w:pPr>
      <w:r>
        <w:rPr>
          <w:rFonts w:ascii="Aptos" w:hAnsi="Aptos"/>
        </w:rPr>
        <w:t>2. Add the static-route/deny-policy network laboratory.</w:t>
      </w:r>
    </w:p>
    <w:p>
      <w:pPr>
        <w:ind w:left="403" w:hanging="288"/>
      </w:pPr>
      <w:r>
        <w:rPr>
          <w:rFonts w:ascii="Aptos" w:hAnsi="Aptos"/>
        </w:rPr>
        <w:t>3. Add an application/Ethernet dual-capture correlation prototype.</w:t>
      </w:r>
    </w:p>
    <w:p>
      <w:pPr>
        <w:ind w:left="403" w:hanging="288"/>
      </w:pPr>
      <w:r>
        <w:rPr>
          <w:rFonts w:ascii="Aptos" w:hAnsi="Aptos"/>
        </w:rPr>
        <w:t>4. Decide whether one-to-many logical edges belong in config v1 extension rules or require config v2.</w:t>
      </w:r>
    </w:p>
    <w:p>
      <w:pPr>
        <w:pStyle w:val="Heading2"/>
      </w:pPr>
      <w:r>
        <w:t>Later platform capabilities</w:t>
      </w:r>
    </w:p>
    <w:p>
      <w:pPr>
        <w:ind w:left="403" w:hanging="288"/>
      </w:pPr>
      <w:r>
        <w:rPr>
          <w:rFonts w:ascii="Aptos" w:hAnsi="Aptos"/>
        </w:rPr>
        <w:t>1. Define reconcile/rollback/ownership semantics for infrastructure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Define a QEMU TAP/OVS security model and physical-node attachment boundary.</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docs/adr/0012-*.md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w:t>
            </w:r>
            <w:r>
              <w:rPr>
                <w:rFonts w:ascii="Aptos" w:hAnsi="Aptos"/>
                <w:b w:val="0"/>
                <w:color w:val="111820"/>
                <w:sz w:val="17"/>
              </w:rPr>
              <w:t>phase_3_verification.md</w:t>
            </w:r>
            <w:r>
              <w:rPr>
                <w:rFonts w:ascii="Aptos" w:hAnsi="Aptos"/>
                <w:b w:val="0"/>
                <w:color w:val="111820"/>
                <w:sz w:val="17"/>
              </w:rPr>
              <w:t xml:space="preserve"> through </w:t>
            </w:r>
            <w:r>
              <w:rPr>
                <w:rFonts w:ascii="Aptos" w:hAnsi="Aptos"/>
                <w:b w:val="0"/>
                <w:color w:val="111820"/>
                <w:sz w:val="17"/>
              </w:rPr>
              <w:t>phase_12_verification.md</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1.0.0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