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1.1.0</w:t>
              <w:br/>
              <w:t>Repository architecture baseline</w:t>
              <w:br/>
              <w:t>Reviewed 2026-09-08</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for GraphX-managed execution (external raw device relationships may loop);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r>
        <w:rPr>
          <w:rFonts w:ascii="Aptos" w:hAnsi="Aptos"/>
        </w:rPr>
        <w:t>For Apple Silicon development, Migration M1 adds an optional Lima ARM64 Linux execution environment. The VM contains rootful Docker, system OVS, Linux namespace/veth/TAP, nftables, netem, QEMU, capture, and build tools while the repository remains mounted from macOS. High-I/O and privileged runtime state is VM-local. M1 verifies these primitives with a disposable topology but does not change the application data plane: configuration version 1 and its current Docker-driver planner remain implemented, QEMU remains on slirp, and the future configuration version 2 OVS-only backend, container veth attachment, and QEMU TAP profile remain proposed.</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Lima macOS execution layer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Moved privileged Linux development behind a reproducible Apple Silicon VM boundary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Pinned M1 template, rootful Docker/system OVS provisioning, disposable primitive verifier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semantic network profiles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Accepted OVS as the future single backend while preserving user intent</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Proposed configuration v2; MACVLAN/IPVLAN remain current v1 Docker drivers until later phases</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bl>
    <w:p>
      <w:pPr>
        <w:spacing w:after="20"/>
      </w:pPr>
    </w:p>
    <w:p>
      <w:pPr>
        <w:pStyle w:val="Heading2"/>
      </w:pPr>
      <w:r>
        <w:t>10.1 How examples, demos, and tests relate to the system</w:t>
      </w:r>
    </w:p>
    <w:p>
      <w:r>
        <w:rPr>
          <w:rFonts w:ascii="Aptos" w:hAnsi="Aptos"/>
        </w:rPr>
        <w:t>Examples, demos, and tests are not parallel implementations of GraphX. They are different evidence layers over the same configuration, runtime, infrastructure, observation, and presentation components:</w:t>
      </w:r>
    </w:p>
    <w:p>
      <w:pPr>
        <w:keepNext/>
        <w:jc w:val="center"/>
      </w:pPr>
      <w:r>
        <w:drawing>
          <wp:inline xmlns:a="http://schemas.openxmlformats.org/drawingml/2006/main" xmlns:pic="http://schemas.openxmlformats.org/drawingml/2006/picture">
            <wp:extent cx="6126480" cy="3335528"/>
            <wp:docPr id="6" name="Picture 6"/>
            <wp:cNvGraphicFramePr>
              <a:graphicFrameLocks noChangeAspect="1"/>
            </wp:cNvGraphicFramePr>
            <a:graphic>
              <a:graphicData uri="http://schemas.openxmlformats.org/drawingml/2006/picture">
                <pic:pic>
                  <pic:nvPicPr>
                    <pic:cNvPr id="0" name="architecture-evidence-flow.png"/>
                    <pic:cNvPicPr/>
                  </pic:nvPicPr>
                  <pic:blipFill>
                    <a:blip r:embed="rId16"/>
                    <a:stretch>
                      <a:fillRect/>
                    </a:stretch>
                  </pic:blipFill>
                  <pic:spPr>
                    <a:xfrm>
                      <a:off x="0" y="0"/>
                      <a:ext cx="6126480" cy="3335528"/>
                    </a:xfrm>
                    <a:prstGeom prst="rect"/>
                  </pic:spPr>
                </pic:pic>
              </a:graphicData>
            </a:graphic>
          </wp:inline>
        </w:drawing>
      </w:r>
    </w:p>
    <w:p>
      <w:pPr>
        <w:pStyle w:val="Caption"/>
        <w:spacing w:after="200"/>
        <w:jc w:val="center"/>
      </w:pPr>
      <w:r>
        <w:t>Figure 6. Traceability from architecture through examples, demos, tests, and verification.</w:t>
      </w:r>
    </w:p>
    <w:p>
      <w:pPr>
        <w:pStyle w:val="ListBullet"/>
      </w:pPr>
      <w:r>
        <w:rPr>
          <w:rFonts w:ascii="Aptos" w:hAnsi="Aptos"/>
        </w:rPr>
        <w:t xml:space="preserve">An </w:t>
      </w:r>
      <w:r>
        <w:rPr>
          <w:rFonts w:ascii="Aptos" w:hAnsi="Aptos"/>
          <w:b/>
        </w:rPr>
        <w:t>example</w:t>
      </w:r>
      <w:r>
        <w:rPr>
          <w:rFonts w:ascii="Aptos" w:hAnsi="Aptos"/>
        </w:rPr>
        <w:t xml:space="preserve"> is a checked-in configuration plus the smallest code or</w:t>
      </w:r>
    </w:p>
    <w:p>
      <w:r>
        <w:rPr>
          <w:rFonts w:ascii="Aptos" w:hAnsi="Aptos"/>
        </w:rPr>
        <w:t>Compose assets needed to illustrate one architectural concern.</w:t>
      </w:r>
    </w:p>
    <w:p>
      <w:pPr>
        <w:pStyle w:val="ListBullet"/>
      </w:pPr>
      <w:r>
        <w:rPr>
          <w:rFonts w:ascii="Aptos" w:hAnsi="Aptos"/>
        </w:rPr>
        <w:t xml:space="preserve">A </w:t>
      </w:r>
      <w:r>
        <w:rPr>
          <w:rFonts w:ascii="Aptos" w:hAnsi="Aptos"/>
          <w:b/>
        </w:rPr>
        <w:t>demo</w:t>
      </w:r>
      <w:r>
        <w:rPr>
          <w:rFonts w:ascii="Aptos" w:hAnsi="Aptos"/>
        </w:rPr>
        <w:t xml:space="preserve"> is an operator-facing lifecycle around one or more examples. It</w:t>
      </w:r>
    </w:p>
    <w:p>
      <w:r>
        <w:rPr>
          <w:rFonts w:ascii="Aptos" w:hAnsi="Aptos"/>
        </w:rPr>
        <w:t>starts real components, exposes observable success criteria, and owns cleanup.</w:t>
      </w:r>
    </w:p>
    <w:p>
      <w:pPr>
        <w:pStyle w:val="ListBullet"/>
      </w:pPr>
      <w:r>
        <w:rPr>
          <w:rFonts w:ascii="Aptos" w:hAnsi="Aptos"/>
        </w:rPr>
        <w:t xml:space="preserve">A </w:t>
      </w:r>
      <w:r>
        <w:rPr>
          <w:rFonts w:ascii="Aptos" w:hAnsi="Aptos"/>
          <w:b/>
        </w:rPr>
        <w:t>test</w:t>
      </w:r>
      <w:r>
        <w:rPr>
          <w:rFonts w:ascii="Aptos" w:hAnsi="Aptos"/>
        </w:rPr>
        <w:t xml:space="preserve"> checks a bounded contract. Unit tests isolate implementation;</w:t>
      </w:r>
    </w:p>
    <w:p>
      <w:r>
        <w:rPr>
          <w:rFonts w:ascii="Aptos" w:hAnsi="Aptos"/>
        </w:rPr>
        <w:t>portable integration runs real host/Docker behavior; native-Linux acceptance proves kernel and host-network semantics that cannot be simulated faithfully.</w:t>
      </w:r>
    </w:p>
    <w:p>
      <w:pPr>
        <w:pStyle w:val="ListBullet"/>
      </w:pPr>
      <w:r>
        <w:rPr>
          <w:rFonts w:ascii="Aptos" w:hAnsi="Aptos"/>
        </w:rPr>
        <w:t xml:space="preserve">A </w:t>
      </w:r>
      <w:r>
        <w:rPr>
          <w:rFonts w:ascii="Aptos" w:hAnsi="Aptos"/>
          <w:b/>
        </w:rPr>
        <w:t>verification profile</w:t>
      </w:r>
      <w:r>
        <w:rPr>
          <w:rFonts w:ascii="Aptos" w:hAnsi="Aptos"/>
        </w:rPr>
        <w:t xml:space="preserve"> aggregates tests but does not change what they</w:t>
      </w:r>
    </w:p>
    <w:p>
      <w:r>
        <w:rPr>
          <w:rFonts w:ascii="Aptos" w:hAnsi="Aptos"/>
        </w:rPr>
        <w:t>prove. A report must retain platform, commit, logs, manual evidence, and skips.</w:t>
      </w:r>
    </w:p>
    <w:p>
      <w:pPr>
        <w:pStyle w:val="Heading2"/>
      </w:pPr>
      <w:r>
        <w:t>10.2 Component and evidence traceability</w:t>
      </w:r>
    </w:p>
    <w:tbl>
      <w:tblPr>
        <w:tblStyle w:val="TableGrid"/>
        <w:tblW w:type="auto" w:w="0"/>
        <w:jc w:val="center"/>
        <w:tblLayout w:type="fixed"/>
        <w:tblLook w:firstColumn="1" w:firstRow="1" w:lastColumn="0" w:lastRow="0" w:noHBand="0" w:noVBand="1" w:val="04A0"/>
      </w:tblPr>
      <w:tblGrid>
        <w:gridCol w:w="2469"/>
        <w:gridCol w:w="2469"/>
        <w:gridCol w:w="2469"/>
        <w:gridCol w:w="2469"/>
      </w:tblGrid>
      <w:tr>
        <w:trPr>
          <w:cantSplit/>
          <w:tblHeader w:val="true"/>
        </w:trPr>
        <w:tc>
          <w:tcPr>
            <w:tcW w:type="dxa" w:w="1944"/>
            <w:vAlign w:val="center"/>
            <w:tcMar>
              <w:top w:w="90" w:type="dxa"/>
              <w:start w:w="110" w:type="dxa"/>
              <w:bottom w:w="90" w:type="dxa"/>
              <w:end w:w="110" w:type="dxa"/>
            </w:tcMar>
            <w:shd w:fill="17324D"/>
          </w:tcPr>
          <w:p>
            <w:pPr>
              <w:spacing w:after="0"/>
            </w:pPr>
            <w:r>
              <w:rPr>
                <w:rFonts w:ascii="Aptos" w:hAnsi="Aptos"/>
                <w:b/>
                <w:color w:val="FFFFFF"/>
                <w:sz w:val="16"/>
              </w:rPr>
              <w:t>System component</w:t>
            </w:r>
          </w:p>
        </w:tc>
        <w:tc>
          <w:tcPr>
            <w:tcW w:type="dxa" w:w="2952"/>
            <w:vAlign w:val="center"/>
            <w:tcMar>
              <w:top w:w="90" w:type="dxa"/>
              <w:start w:w="110" w:type="dxa"/>
              <w:bottom w:w="90" w:type="dxa"/>
              <w:end w:w="110" w:type="dxa"/>
            </w:tcMar>
            <w:shd w:fill="17324D"/>
          </w:tcPr>
          <w:p>
            <w:pPr>
              <w:spacing w:after="0"/>
            </w:pPr>
            <w:r>
              <w:rPr>
                <w:rFonts w:ascii="Aptos" w:hAnsi="Aptos"/>
                <w:b/>
                <w:color w:val="FFFFFF"/>
                <w:sz w:val="16"/>
              </w:rPr>
              <w:t>Primary examples or demos</w:t>
            </w:r>
          </w:p>
        </w:tc>
        <w:tc>
          <w:tcPr>
            <w:tcW w:type="dxa" w:w="2232"/>
            <w:vAlign w:val="center"/>
            <w:tcMar>
              <w:top w:w="90" w:type="dxa"/>
              <w:start w:w="110" w:type="dxa"/>
              <w:bottom w:w="90" w:type="dxa"/>
              <w:end w:w="110" w:type="dxa"/>
            </w:tcMar>
            <w:shd w:fill="17324D"/>
          </w:tcPr>
          <w:p>
            <w:pPr>
              <w:spacing w:after="0"/>
            </w:pPr>
            <w:r>
              <w:rPr>
                <w:rFonts w:ascii="Aptos" w:hAnsi="Aptos"/>
                <w:b/>
                <w:color w:val="FFFFFF"/>
                <w:sz w:val="16"/>
              </w:rPr>
              <w:t>Automated evidence</w:t>
            </w:r>
          </w:p>
        </w:tc>
        <w:tc>
          <w:tcPr>
            <w:tcW w:type="dxa" w:w="2448"/>
            <w:vAlign w:val="center"/>
            <w:tcMar>
              <w:top w:w="90" w:type="dxa"/>
              <w:start w:w="110" w:type="dxa"/>
              <w:bottom w:w="90" w:type="dxa"/>
              <w:end w:w="110" w:type="dxa"/>
            </w:tcMar>
            <w:shd w:fill="17324D"/>
          </w:tcPr>
          <w:p>
            <w:pPr>
              <w:spacing w:after="0"/>
            </w:pPr>
            <w:r>
              <w:rPr>
                <w:rFonts w:ascii="Aptos" w:hAnsi="Aptos"/>
                <w:b/>
                <w:color w:val="FFFFFF"/>
                <w:sz w:val="16"/>
              </w:rPr>
              <w:t>Manual/system evidence</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Configuration loader, schema, projections</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 xml:space="preserve">Every </w:t>
            </w:r>
            <w:r>
              <w:rPr>
                <w:rFonts w:ascii="Aptos" w:hAnsi="Aptos"/>
                <w:b w:val="0"/>
                <w:color w:val="111820"/>
                <w:sz w:val="16"/>
              </w:rPr>
              <w:t>graphx.yaml</w:t>
            </w:r>
            <w:r>
              <w:rPr>
                <w:rFonts w:ascii="Aptos" w:hAnsi="Aptos"/>
                <w:b w:val="0"/>
                <w:color w:val="111820"/>
                <w:sz w:val="16"/>
              </w:rPr>
              <w:t>; root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graphx-config-*</w:t>
            </w:r>
            <w:r>
              <w:rPr>
                <w:rFonts w:ascii="Aptos" w:hAnsi="Aptos"/>
                <w:b w:val="0"/>
                <w:color w:val="111820"/>
                <w:sz w:val="16"/>
              </w:rPr>
              <w:t>, schema/AJV, projection and documentation CTests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graphx validate</w:t>
            </w:r>
            <w:r>
              <w:rPr>
                <w:rFonts w:ascii="Aptos" w:hAnsi="Aptos"/>
                <w:b w:val="0"/>
                <w:color w:val="111820"/>
                <w:sz w:val="16"/>
              </w:rPr>
              <w:t xml:space="preserve">, </w:t>
            </w:r>
            <w:r>
              <w:rPr>
                <w:rFonts w:ascii="Aptos" w:hAnsi="Aptos"/>
                <w:b w:val="0"/>
                <w:color w:val="111820"/>
                <w:sz w:val="16"/>
              </w:rPr>
              <w:t>inspect</w:t>
            </w:r>
            <w:r>
              <w:rPr>
                <w:rFonts w:ascii="Aptos" w:hAnsi="Aptos"/>
                <w:b w:val="0"/>
                <w:color w:val="111820"/>
                <w:sz w:val="16"/>
              </w:rPr>
              <w:t>, and reviewed infra dry-runs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Envelope, framing, identity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Standard TCP, capture, shared memory, UDP</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 unit/golden tests, malformed cases, envelope/frame fuzzers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USER0 PCAPNG decoded with Lua/extcap</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Transport factory and lifecycle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Standard TCP, shared memory, UDP examples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CTest transport suites, finite pipelines, SIGTERM and reconnect checks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Process output, delivery counts, clean shutdown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Infrastructure planner/executor</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network labs, route/policy lab</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Config/planner/transaction tests and portable dry-run assertions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Native links, OVS, namespace, route, policy, netem, and cleanup inspection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Deployment and ownership</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Compose, separate network projects, QEMU/SDR launchers</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Compose rendering, hardening and lifecycle script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Container/device boundaries, ownership markers, repeated teardown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Telemetry and operations</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 route/policy demos</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Node tests, HTTP/WebSocket integration, Prometheus/SLO/OTLP checks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Live counters, readiness, bounded failure behavior</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Control and security</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source control, SDR mTLS relay</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Authentication, authorization, anti-replay, rotation, redaction and audit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Token workflow, pause/resume, direct SDR command rejection/success</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History</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Root, QEMU,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SQLite worker, retention, restart, query/auth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History navigation and persistence across collector restart</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Application capture</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capture example</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PCAPNG writer, security, catalog, download, Lua/extcap tests</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Message identity and frame inspection</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Ethernet capture</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Native OVS labs, QEMU, SDR, route/policy</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Observer/parser tests and portable simulated captures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SPAN/live capture, TShark decode, receiver/counter correlation</w:t>
            </w:r>
          </w:p>
        </w:tc>
      </w:tr>
      <w:tr>
        <w:trPr>
          <w:cantSplit/>
        </w:trPr>
        <w:tc>
          <w:tcPr>
            <w:tcW w:type="dxa" w:w="1944"/>
            <w:vAlign w:val="center"/>
            <w:tcMar>
              <w:top w:w="90" w:type="dxa"/>
              <w:start w:w="110" w:type="dxa"/>
              <w:bottom w:w="90" w:type="dxa"/>
              <w:end w:w="110" w:type="dxa"/>
            </w:tcMar>
          </w:tcPr>
          <w:p>
            <w:pPr>
              <w:spacing w:after="0"/>
            </w:pPr>
            <w:r>
              <w:rPr>
                <w:rFonts w:ascii="Aptos" w:hAnsi="Aptos"/>
                <w:b w:val="0"/>
                <w:color w:val="111820"/>
                <w:sz w:val="16"/>
              </w:rPr>
              <w:t>Browser presentation</w:t>
            </w:r>
          </w:p>
        </w:tc>
        <w:tc>
          <w:tcPr>
            <w:tcW w:type="dxa" w:w="2952"/>
            <w:vAlign w:val="center"/>
            <w:tcMar>
              <w:top w:w="90" w:type="dxa"/>
              <w:start w:w="110" w:type="dxa"/>
              <w:bottom w:w="90" w:type="dxa"/>
              <w:end w:w="110" w:type="dxa"/>
            </w:tcMar>
          </w:tcPr>
          <w:p>
            <w:pPr>
              <w:spacing w:after="0"/>
            </w:pPr>
            <w:r>
              <w:rPr>
                <w:rFonts w:ascii="Aptos" w:hAnsi="Aptos"/>
                <w:b w:val="0"/>
                <w:color w:val="111820"/>
                <w:sz w:val="16"/>
              </w:rPr>
              <w:t>Root and every graphical demo</w:t>
            </w:r>
          </w:p>
        </w:tc>
        <w:tc>
          <w:tcPr>
            <w:tcW w:type="dxa" w:w="2232"/>
            <w:vAlign w:val="center"/>
            <w:tcMar>
              <w:top w:w="90" w:type="dxa"/>
              <w:start w:w="110" w:type="dxa"/>
              <w:bottom w:w="90" w:type="dxa"/>
              <w:end w:w="110" w:type="dxa"/>
            </w:tcMar>
          </w:tcPr>
          <w:p>
            <w:pPr>
              <w:spacing w:after="0"/>
            </w:pPr>
            <w:r>
              <w:rPr>
                <w:rFonts w:ascii="Aptos" w:hAnsi="Aptos"/>
                <w:b w:val="0"/>
                <w:color w:val="111820"/>
                <w:sz w:val="16"/>
              </w:rPr>
              <w:t>React/node component tests and production build</w:t>
            </w:r>
          </w:p>
        </w:tc>
        <w:tc>
          <w:tcPr>
            <w:tcW w:type="dxa" w:w="2448"/>
            <w:vAlign w:val="center"/>
            <w:tcMar>
              <w:top w:w="90" w:type="dxa"/>
              <w:start w:w="110" w:type="dxa"/>
              <w:bottom w:w="90" w:type="dxa"/>
              <w:end w:w="110" w:type="dxa"/>
            </w:tcMar>
          </w:tcPr>
          <w:p>
            <w:pPr>
              <w:spacing w:after="0"/>
            </w:pPr>
            <w:r>
              <w:rPr>
                <w:rFonts w:ascii="Aptos" w:hAnsi="Aptos"/>
                <w:b w:val="0"/>
                <w:color w:val="111820"/>
                <w:sz w:val="16"/>
              </w:rPr>
              <w:t>Application/Network/History transitions and live updates without refresh</w:t>
            </w:r>
          </w:p>
        </w:tc>
      </w:tr>
      <w:tr>
        <w:trPr>
          <w:cantSplit/>
        </w:trPr>
        <w:tc>
          <w:tcPr>
            <w:tcW w:type="dxa" w:w="1944"/>
            <w:vAlign w:val="center"/>
            <w:tcMar>
              <w:top w:w="90" w:type="dxa"/>
              <w:start w:w="110" w:type="dxa"/>
              <w:bottom w:w="90" w:type="dxa"/>
              <w:end w:w="110" w:type="dxa"/>
            </w:tcMar>
            <w:shd w:fill="F3F5F7"/>
          </w:tcPr>
          <w:p>
            <w:pPr>
              <w:spacing w:after="0"/>
            </w:pPr>
            <w:r>
              <w:rPr>
                <w:rFonts w:ascii="Aptos" w:hAnsi="Aptos"/>
                <w:b w:val="0"/>
                <w:color w:val="111820"/>
                <w:sz w:val="16"/>
              </w:rPr>
              <w:t>External-node model</w:t>
            </w:r>
          </w:p>
        </w:tc>
        <w:tc>
          <w:tcPr>
            <w:tcW w:type="dxa" w:w="2952"/>
            <w:vAlign w:val="center"/>
            <w:tcMar>
              <w:top w:w="90" w:type="dxa"/>
              <w:start w:w="110" w:type="dxa"/>
              <w:bottom w:w="90" w:type="dxa"/>
              <w:end w:w="110" w:type="dxa"/>
            </w:tcMar>
            <w:shd w:fill="F3F5F7"/>
          </w:tcPr>
          <w:p>
            <w:pPr>
              <w:spacing w:after="0"/>
            </w:pPr>
            <w:r>
              <w:rPr>
                <w:rFonts w:ascii="Aptos" w:hAnsi="Aptos"/>
                <w:b w:val="0"/>
                <w:color w:val="111820"/>
                <w:sz w:val="16"/>
              </w:rPr>
              <w:t>QEMU and SDR</w:t>
            </w:r>
          </w:p>
        </w:tc>
        <w:tc>
          <w:tcPr>
            <w:tcW w:type="dxa" w:w="2232"/>
            <w:vAlign w:val="center"/>
            <w:tcMar>
              <w:top w:w="90" w:type="dxa"/>
              <w:start w:w="110" w:type="dxa"/>
              <w:bottom w:w="90" w:type="dxa"/>
              <w:end w:w="110" w:type="dxa"/>
            </w:tcMar>
            <w:shd w:fill="F3F5F7"/>
          </w:tcPr>
          <w:p>
            <w:pPr>
              <w:spacing w:after="0"/>
            </w:pPr>
            <w:r>
              <w:rPr>
                <w:rFonts w:ascii="Aptos" w:hAnsi="Aptos"/>
                <w:b w:val="0"/>
                <w:color w:val="111820"/>
                <w:sz w:val="16"/>
              </w:rPr>
              <w:t>Config, raw-edge rejection, observer, QMP/probe, SDR protocol tests</w:t>
            </w:r>
          </w:p>
        </w:tc>
        <w:tc>
          <w:tcPr>
            <w:tcW w:type="dxa" w:w="2448"/>
            <w:vAlign w:val="center"/>
            <w:tcMar>
              <w:top w:w="90" w:type="dxa"/>
              <w:start w:w="110" w:type="dxa"/>
              <w:bottom w:w="90" w:type="dxa"/>
              <w:end w:w="110" w:type="dxa"/>
            </w:tcMar>
            <w:shd w:fill="F3F5F7"/>
          </w:tcPr>
          <w:p>
            <w:pPr>
              <w:spacing w:after="0"/>
            </w:pPr>
            <w:r>
              <w:rPr>
                <w:rFonts w:ascii="Aptos" w:hAnsi="Aptos"/>
                <w:b w:val="0"/>
                <w:color w:val="111820"/>
                <w:sz w:val="16"/>
              </w:rPr>
              <w:t>VM acceleration/readiness or native SDR-path evidence</w:t>
            </w:r>
          </w:p>
        </w:tc>
      </w:tr>
    </w:tbl>
    <w:p>
      <w:pPr>
        <w:spacing w:after="20"/>
      </w:pPr>
    </w:p>
    <w:p>
      <w:r>
        <w:rPr>
          <w:rFonts w:ascii="Aptos" w:hAnsi="Aptos"/>
        </w:rPr>
        <w:t>The shortest path from architecture to evidence is therefore:</w:t>
      </w:r>
    </w:p>
    <w:p>
      <w:pPr>
        <w:ind w:left="403" w:hanging="288"/>
      </w:pPr>
      <w:r>
        <w:rPr>
          <w:rFonts w:ascii="Aptos" w:hAnsi="Aptos"/>
        </w:rPr>
        <w:t>1. the architecture and ADR define a boundary;</w:t>
      </w:r>
    </w:p>
    <w:p>
      <w:pPr>
        <w:ind w:left="403" w:hanging="288"/>
      </w:pPr>
      <w:r>
        <w:rPr>
          <w:rFonts w:ascii="Aptos" w:hAnsi="Aptos"/>
        </w:rPr>
        <w:t xml:space="preserve">2. </w:t>
      </w:r>
      <w:r>
        <w:rPr>
          <w:rFonts w:ascii="Aptos Mono" w:hAnsi="Aptos Mono"/>
          <w:color w:val="153B57"/>
          <w:sz w:val="17"/>
        </w:rPr>
        <w:t>graphx.yaml</w:t>
      </w:r>
      <w:r>
        <w:rPr>
          <w:rFonts w:ascii="Aptos" w:hAnsi="Aptos"/>
        </w:rPr>
        <w:t xml:space="preserve"> expresses it in an example;</w:t>
      </w:r>
    </w:p>
    <w:p>
      <w:pPr>
        <w:ind w:left="403" w:hanging="288"/>
      </w:pPr>
      <w:r>
        <w:rPr>
          <w:rFonts w:ascii="Aptos" w:hAnsi="Aptos"/>
        </w:rPr>
        <w:t>3. a demo makes the example observable and repeatably cleanable;</w:t>
      </w:r>
    </w:p>
    <w:p>
      <w:pPr>
        <w:ind w:left="403" w:hanging="288"/>
      </w:pPr>
      <w:r>
        <w:rPr>
          <w:rFonts w:ascii="Aptos" w:hAnsi="Aptos"/>
        </w:rPr>
        <w:t>4. focused tests validate individual contracts;</w:t>
      </w:r>
    </w:p>
    <w:p>
      <w:pPr>
        <w:ind w:left="403" w:hanging="288"/>
      </w:pPr>
      <w:r>
        <w:rPr>
          <w:rFonts w:ascii="Aptos" w:hAnsi="Aptos"/>
        </w:rPr>
        <w:t>5. portable and native profiles establish platform-appropriate integration;</w:t>
      </w:r>
    </w:p>
    <w:p>
      <w:pPr>
        <w:ind w:left="403" w:hanging="288"/>
      </w:pPr>
      <w:r>
        <w:rPr>
          <w:rFonts w:ascii="Aptos" w:hAnsi="Aptos"/>
        </w:rPr>
        <w:t>6. an independent report states exactly which evidence ran.</w:t>
      </w:r>
    </w:p>
    <w:p>
      <w:r>
        <w:rPr>
          <w:rFonts w:ascii="Aptos" w:hAnsi="Aptos"/>
        </w:rPr>
        <w:t>The consolidated [</w:t>
      </w:r>
      <w:r>
        <w:rPr>
          <w:rFonts w:ascii="Aptos Mono" w:hAnsi="Aptos Mono"/>
          <w:color w:val="153B57"/>
          <w:sz w:val="17"/>
        </w:rPr>
        <w:t>demo guide</w:t>
      </w:r>
      <w:r>
        <w:rPr>
          <w:rFonts w:ascii="Aptos" w:hAnsi="Aptos"/>
        </w:rPr>
        <w:t>](demo-guide.md) describes the runnable scenarios. The [</w:t>
      </w:r>
      <w:r>
        <w:rPr>
          <w:rFonts w:ascii="Aptos Mono" w:hAnsi="Aptos Mono"/>
          <w:color w:val="153B57"/>
          <w:sz w:val="17"/>
        </w:rPr>
        <w:t>manual test procedures</w:t>
      </w:r>
      <w:r>
        <w:rPr>
          <w:rFonts w:ascii="Aptos" w:hAnsi="Aptos"/>
        </w:rPr>
        <w:t>](manual-test-procedures.md) define macOS and Linux system acceptance without conflating Docker Desktop simulation with native kernel evidence.</w:t>
      </w: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1.1.0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Accepted migration direction; not yet implemented.</w:t>
      </w:r>
      <w:r>
        <w:rPr>
          <w:rFonts w:ascii="Aptos" w:hAnsi="Aptos"/>
        </w:rPr>
        <w:t xml:space="preserve"> ADR 0016 places the macOS runtime in Lima and ADR 0017 selects OVS with an owned TAP as the future QEMU data plane. Implementation remains sequenced after the generic ownership and endpoint lifecycle. It will enable real guest MAC identity, VLANs, L2 multicast/broadcast, and direct SPAN capture without granting broad network privilege to QEMU itself. The current slirp profiles remain authoritative until that acceptance gate passes.</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Accepted Lima and OVS migration</w:t>
      </w:r>
    </w:p>
    <w:p>
      <w:r>
        <w:rPr>
          <w:rFonts w:ascii="Aptos" w:hAnsi="Aptos"/>
        </w:rPr>
        <w:t xml:space="preserve">ADR 0016 and ADR 0017 accept a new migration track without claiming that its runtime is already implemented. Migration work packages use </w:t>
      </w:r>
      <w:r>
        <w:rPr>
          <w:rFonts w:ascii="Aptos Mono" w:hAnsi="Aptos Mono"/>
          <w:color w:val="153B57"/>
          <w:sz w:val="17"/>
        </w:rPr>
        <w:t>M</w:t>
      </w:r>
      <w:r>
        <w:rPr>
          <w:rFonts w:ascii="Aptos" w:hAnsi="Aptos"/>
        </w:rPr>
        <w:t xml:space="preserve"> identifiers so they do not collide with the existing feature-phase history. The authoritative sequence is maintained in </w:t>
      </w:r>
      <w:r>
        <w:rPr>
          <w:rFonts w:ascii="Aptos Mono" w:hAnsi="Aptos Mono"/>
          <w:color w:val="153B57"/>
          <w:sz w:val="17"/>
        </w:rPr>
        <w:t>prompt/ovs_migration_implementation_plan.md</w:t>
      </w:r>
      <w:r>
        <w:rPr>
          <w:rFonts w:ascii="Aptos" w:hAnsi="Aptos"/>
        </w:rPr>
        <w:t>:</w:t>
      </w:r>
    </w:p>
    <w:p>
      <w:pPr>
        <w:ind w:left="403" w:hanging="288"/>
      </w:pPr>
      <w:r>
        <w:rPr>
          <w:rFonts w:ascii="Aptos" w:hAnsi="Aptos"/>
        </w:rPr>
        <w:t>1. M0 records the decisions and frozen GraphX 1.1.0 baseline.</w:t>
      </w:r>
    </w:p>
    <w:p>
      <w:pPr>
        <w:ind w:left="403" w:hanging="288"/>
      </w:pPr>
      <w:r>
        <w:rPr>
          <w:rFonts w:ascii="Aptos" w:hAnsi="Aptos"/>
        </w:rPr>
        <w:t>2. M1 provides the Lima macOS Linux execution environment.</w:t>
      </w:r>
    </w:p>
    <w:p>
      <w:pPr>
        <w:ind w:left="403" w:hanging="288"/>
      </w:pPr>
      <w:r>
        <w:rPr>
          <w:rFonts w:ascii="Aptos" w:hAnsi="Aptos"/>
        </w:rPr>
        <w:t>3. M2 introduces configuration version 2 and packet-verifiable MACVLAN/IPVLAN</w:t>
      </w:r>
    </w:p>
    <w:p>
      <w:r>
        <w:rPr>
          <w:rFonts w:ascii="Aptos" w:hAnsi="Aptos"/>
        </w:rPr>
        <w:t>semantic profiles without changing version-1 meaning.</w:t>
      </w:r>
    </w:p>
    <w:p>
      <w:pPr>
        <w:ind w:left="403" w:hanging="288"/>
      </w:pPr>
      <w:r>
        <w:rPr>
          <w:rFonts w:ascii="Aptos" w:hAnsi="Aptos"/>
        </w:rPr>
        <w:t>4. M3 and M4 add identity-safe ownership, OVS lifecycle, and container veth</w:t>
      </w:r>
    </w:p>
    <w:p>
      <w:r>
        <w:rPr>
          <w:rFonts w:ascii="Aptos" w:hAnsi="Aptos"/>
        </w:rPr>
        <w:t>attachment.</w:t>
      </w:r>
    </w:p>
    <w:p>
      <w:pPr>
        <w:ind w:left="403" w:hanging="288"/>
      </w:pPr>
      <w:r>
        <w:rPr>
          <w:rFonts w:ascii="Aptos" w:hAnsi="Aptos"/>
        </w:rPr>
        <w:t>5. M5 migrates the existing network and external-device laboratories.</w:t>
      </w:r>
    </w:p>
    <w:p>
      <w:pPr>
        <w:ind w:left="403" w:hanging="288"/>
      </w:pPr>
      <w:r>
        <w:rPr>
          <w:rFonts w:ascii="Aptos" w:hAnsi="Aptos"/>
        </w:rPr>
        <w:t>6. M6 adds the owned QEMU TAP/OVS profile.</w:t>
      </w:r>
    </w:p>
    <w:p>
      <w:pPr>
        <w:ind w:left="403" w:hanging="288"/>
      </w:pPr>
      <w:r>
        <w:rPr>
          <w:rFonts w:ascii="Aptos" w:hAnsi="Aptos"/>
        </w:rPr>
        <w:t>7. M7 integrates capture, faults, and diagnostics with the common lifecycle.</w:t>
      </w:r>
    </w:p>
    <w:p>
      <w:pPr>
        <w:ind w:left="403" w:hanging="288"/>
      </w:pPr>
      <w:r>
        <w:rPr>
          <w:rFonts w:ascii="Aptos" w:hAnsi="Aptos"/>
        </w:rPr>
        <w:t>8. M8 retires legacy realization paths only after the full compatibility gate.</w:t>
      </w:r>
    </w:p>
    <w:p>
      <w:r>
        <w:rPr>
          <w:rFonts w:ascii="Aptos" w:hAnsi="Aptos"/>
        </w:rPr>
        <w:t>Until those phases pass, the current Docker-driver, Docker Desktop simulation, and QEMU slirp descriptions in this document remain descriptions of implemented behavior.</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1.1.0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the one-to-many logical-edge contract separately from the accepted</w:t>
      </w:r>
    </w:p>
    <w:p>
      <w:r>
        <w:rPr>
          <w:rFonts w:ascii="Aptos" w:hAnsi="Aptos"/>
        </w:rPr>
        <w:t>network-profile configuration-v2 migration; the latter does not implicitly authorize a graph fan-out schema change.</w:t>
      </w:r>
    </w:p>
    <w:p>
      <w:pPr>
        <w:pStyle w:val="Heading2"/>
      </w:pPr>
      <w:r>
        <w:t>Later platform capabilities</w:t>
      </w:r>
    </w:p>
    <w:p>
      <w:pPr>
        <w:ind w:left="403" w:hanging="288"/>
      </w:pPr>
      <w:r>
        <w:rPr>
          <w:rFonts w:ascii="Aptos" w:hAnsi="Aptos"/>
        </w:rPr>
        <w:t>1. Implement the accepted M3 reconcile/rollback/ownership contract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Implement the accepted QEMU TAP/OVS direction after M3 while keeping any</w:t>
      </w:r>
    </w:p>
    <w:p>
      <w:r>
        <w:rPr>
          <w:rFonts w:ascii="Aptos" w:hAnsi="Aptos"/>
        </w:rPr>
        <w:t>broader physical-node attachment behind a separate operator/security gate.</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docs/adr/0017-*.md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phase verification reports, </w:t>
            </w:r>
            <w:r>
              <w:rPr>
                <w:rFonts w:ascii="Aptos" w:hAnsi="Aptos"/>
                <w:b w:val="0"/>
                <w:color w:val="111820"/>
                <w:sz w:val="17"/>
              </w:rPr>
              <w:t>migration_m0_baseline.md</w:t>
            </w:r>
            <w:r>
              <w:rPr>
                <w:rFonts w:ascii="Aptos" w:hAnsi="Aptos"/>
                <w:b w:val="0"/>
                <w:color w:val="111820"/>
                <w:sz w:val="17"/>
              </w:rPr>
              <w:t xml:space="preserve">, and the active M1 contracts under </w:t>
            </w:r>
            <w:r>
              <w:rPr>
                <w:rFonts w:ascii="Aptos" w:hAnsi="Aptos"/>
                <w:b w:val="0"/>
                <w:color w:val="111820"/>
                <w:sz w:val="17"/>
              </w:rPr>
              <w:t>prompt/</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1.1.0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