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111820"/>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2026-09-11</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Architectural change control</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versioned </w:t>
      </w:r>
      <w:r>
        <w:rPr>
          <w:rFonts w:ascii="Aptos Mono" w:hAnsi="Aptos Mono"/>
          <w:color w:val="153B57"/>
          <w:sz w:val="17"/>
        </w:rPr>
        <w:t>graphx.yaml</w:t>
      </w:r>
      <w:r>
        <w:rPr>
          <w:rFonts w:ascii="Aptos" w:hAnsi="Aptos"/>
        </w:rPr>
        <w:t xml:space="preserve"> file is the authoritative source for these views. Version 1 is migration input only: validation, inspection, projection, normalization, and deterministic migration remain available, while every infrastructure action fails before mutation. Version 2 expresses OVS semantic profiles and typed attachments for identity-owned bridges, container veths, namespace routers, mirrors, QEMU TAPs, capture, and timed faults. The C++ loader validates and normalizes configuration into a versioned JSON contract consumed by deployed telemetry. The browser derives its Application and Network views from that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Network infrastructure is a peer layer rather than an accidental consequence of Docker Compose. Its configuration models Ethernet, macvlan, and ipvlan semantic domains; node interfaces; Open vSwitch bridges and ports; VLAN metadata; SPAN mirrors; namespace routers; routes; forwarding policies; and ordered per-edge network paths. System OVS on Linux is the sole backend. On macOS, OrbStack runs ordinary container workflows while the dedicated Lima VM provides the privileged Linux network laboratory.</w:t>
      </w:r>
    </w:p>
    <w:p>
      <w:r>
        <w:rPr>
          <w:rFonts w:ascii="Aptos" w:hAnsi="Aptos"/>
        </w:rPr>
        <w:t>The QEMU examples prove a second important boundary: an application does not need to link GraphX or emit GraphX envelopes to appear in the topology. A shared x86_64 guest exchanges ordinary TCP and UDP traffic in three profiles: two deprecated slirp compatibility paths and the primary TAP/OVS path for native Linux and Lima.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GraphX-managed execution allows only DAGs (external raw device relationships may loop); infrastructure provisioning is create/destroy rather than reconciliation; UDP is bounded but unreliable; multicast remains one logical producer-to-consumer edge; OVS and application captures are intentionally separate and are not automatically cross-correlated; fault realization currently supports timed netem rather than OVS drop rules; the older QEMU profiles still use user-mode networking for compatibility; and the telemetry/control system is a single-collector control domain rather than a distributed control plane.</w:t>
      </w:r>
    </w:p>
    <w:p>
      <w:r>
        <w:rPr>
          <w:rFonts w:ascii="Aptos" w:hAnsi="Aptos"/>
        </w:rPr>
        <w:t>For Apple Silicon development, the dedicated Lima ARM64 Linux VM contains rootful Docker, system OVS, Linux namespace/veth/TAP tools, nftables, netem, QEMU, capture tools, and the build toolchain while the repository remains mounted from macOS. High-I/O and privileged runtime state stays on the guest's native filesystem. OrbStack separately runs ordinary unprivileged Compose demos and Docker acceptance. Version 1 and QEMU user networking remain explicit compatibility paths; neither can become a mutable infrastructure default.</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Linux and Lima results are reported separately, and TCG evidence is never presented as KVM evidence.</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v1/v2 model, JSON Schema, semantic validation, migration,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Lima macOS execution layer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Moved privileged Linux development behind a reproducible Apple Silicon VM boundary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Pinned template, rootful Docker/system OVS provisioning, disposable primitive verifier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semantic network profiles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Established OVS as the single managed backend while preserving user intent</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Version-2 profiles and typed attachments, identity-owned bridges, container veths, namespace routing, mirrors, capture, faults, and QEMU TAP</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versions 1 and 2 share the following top-level organization: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v1 drivers/interfaces or v2 profiles/attachments,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 xml:space="preserve">Unknown keys on core surfaces are rejected. Version 2 rejects legacy </w:t>
      </w:r>
      <w:r>
        <w:rPr>
          <w:rFonts w:ascii="Aptos Mono" w:hAnsi="Aptos Mono"/>
          <w:color w:val="153B57"/>
          <w:sz w:val="17"/>
        </w:rPr>
        <w:t>driver</w:t>
      </w:r>
      <w:r>
        <w:rPr>
          <w:rFonts w:ascii="Aptos" w:hAnsi="Aptos"/>
        </w:rPr>
        <w:t xml:space="preserve">, </w:t>
      </w:r>
      <w:r>
        <w:rPr>
          <w:rFonts w:ascii="Aptos Mono" w:hAnsi="Aptos Mono"/>
          <w:color w:val="153B57"/>
          <w:sz w:val="17"/>
        </w:rPr>
        <w:t>parent</w:t>
      </w:r>
      <w:r>
        <w:rPr>
          <w:rFonts w:ascii="Aptos" w:hAnsi="Aptos"/>
        </w:rPr>
        <w:t xml:space="preserve">, </w:t>
      </w:r>
      <w:r>
        <w:rPr>
          <w:rFonts w:ascii="Aptos Mono" w:hAnsi="Aptos Mono"/>
          <w:color w:val="153B57"/>
          <w:sz w:val="17"/>
        </w:rPr>
        <w:t>mode</w:t>
      </w:r>
      <w:r>
        <w:rPr>
          <w:rFonts w:ascii="Aptos" w:hAnsi="Aptos"/>
        </w:rPr>
        <w:t xml:space="preserve">, </w:t>
      </w:r>
      <w:r>
        <w:rPr>
          <w:rFonts w:ascii="Aptos Mono" w:hAnsi="Aptos Mono"/>
          <w:color w:val="153B57"/>
          <w:sz w:val="17"/>
        </w:rPr>
        <w:t>network.interfaces</w:t>
      </w:r>
      <w:r>
        <w:rPr>
          <w:rFonts w:ascii="Aptos" w:hAnsi="Aptos"/>
        </w:rPr>
        <w:t xml:space="preserve">, and </w:t>
      </w:r>
      <w:r>
        <w:rPr>
          <w:rFonts w:ascii="Aptos Mono" w:hAnsi="Aptos Mono"/>
          <w:color w:val="153B57"/>
          <w:sz w:val="17"/>
        </w:rPr>
        <w:t>deployment.network</w:t>
      </w:r>
      <w:r>
        <w:rPr>
          <w:rFonts w:ascii="Aptos" w:hAnsi="Aptos"/>
        </w:rPr>
        <w:t xml:space="preserve"> fields. Its fixed profiles define MAC identity, learning/filtering, ARP, broadcast/multicast, routing, isolation, and management behavior; its typed attachments distinguish container veth, namespace veth, QEMU TAP, external, and mirror intent.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The top-level source </w:t>
      </w:r>
      <w:r>
        <w:rPr>
          <w:rFonts w:ascii="Aptos Mono" w:hAnsi="Aptos Mono"/>
          <w:color w:val="153B57"/>
          <w:sz w:val="17"/>
        </w:rPr>
        <w:t>version</w:t>
      </w:r>
      <w:r>
        <w:rPr>
          <w:rFonts w:ascii="Aptos" w:hAnsi="Aptos"/>
        </w:rPr>
        <w:t xml:space="preserve"> is immutable and cannot be changed by either override layer.</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Both configuration versions require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Version 2 also declares the Compose project identity used to resolve a unique running service container without trusting a mutable container name. The standard demo runs generator, transform, sink, and telemetry as hardened Compose services on a private management bridge. Container data-plane interfaces are separate veth peers attached only to OVS.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The CLI validates, inspects, projects, normalizes, and migrates both configuration versions. Every version-1 infrastructure action is rejected before state or platform mutation. Version 2 uses one persistent ownership lifecycle for OVS bridges, container and namespace veths, mirrors, router forwarding/routes/policy, semantic-profile flows, TAP devices, capture, and timed faults. Compose manages application processes and management connectivity only; GraphX verifies project/service labels, image, full container ID, PID, and namespace inode before moving the data-plane peer. A replacement namespace, TAP, Port, Interface, capture, or qdisc is reported unhealthy and cleanup fails closed.</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Version-1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legacy driver, subnets, gateway, parent, mode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Compatibility inspection and deterministic migration only; never realized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Version-1 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Compatibility inspection and deterministic migration only; never attached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Version-2 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fixed semantic profile, subnets, gateway, uplink, external intent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switching, routing, policy, and profile behavior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Version-2 attachment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Kind, owner, network, address/MAC, interface/peer/switch and TAP UID/GID as applicable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Owned container/namespace veth, external boundary, mirror, or QEMU TAP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attachment ownership, mirrors, and path connectivity before infrastructure commands run. Version-1 plans execute argument arrays without a shell and can be reviewed with </w:t>
      </w:r>
      <w:r>
        <w:rPr>
          <w:rFonts w:ascii="Aptos Mono" w:hAnsi="Aptos Mono"/>
          <w:color w:val="153B57"/>
          <w:sz w:val="17"/>
        </w:rPr>
        <w:t>--dry-run</w:t>
      </w:r>
      <w:r>
        <w:rPr>
          <w:rFonts w:ascii="Aptos" w:hAnsi="Aptos"/>
        </w:rPr>
        <w:t xml:space="preserve">; version 2 cannot enter that planner. Source-to-source migration loads the literal version-1 file without runtime </w:t>
      </w:r>
      <w:r>
        <w:rPr>
          <w:rFonts w:ascii="Aptos Mono" w:hAnsi="Aptos Mono"/>
          <w:color w:val="153B57"/>
          <w:sz w:val="17"/>
        </w:rPr>
        <w:t>GRAPHX_OVERRIDES</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MACVLAN-semantic example attaches generator, transform, and sink to one </w:t>
      </w:r>
      <w:r>
        <w:rPr>
          <w:rFonts w:ascii="Aptos Mono" w:hAnsi="Aptos Mono"/>
          <w:color w:val="153B57"/>
          <w:sz w:val="17"/>
        </w:rPr>
        <w:t>10.30.0.0/24</w:t>
      </w:r>
      <w:r>
        <w:rPr>
          <w:rFonts w:ascii="Aptos" w:hAnsi="Aptos"/>
        </w:rPr>
        <w:t xml:space="preserve"> OVS domain using explicit addresses and MACs. GraphX owns the container veth attachments; Docker supplies management connectivity only. The profile demonstrates LAN-like per-container L2 identity without creating a Docker macvlan network.</w:t>
      </w:r>
    </w:p>
    <w:p>
      <w:pPr>
        <w:pStyle w:val="Heading2"/>
      </w:pPr>
      <w:r>
        <w:t>7.5 IPvlan L2</w:t>
      </w:r>
    </w:p>
    <w:p>
      <w:r>
        <w:rPr>
          <w:rFonts w:ascii="Aptos" w:hAnsi="Aptos"/>
        </w:rPr>
        <w:t xml:space="preserve">The IPVLAN-L2-semantic example creates three independent </w:t>
      </w:r>
      <w:r>
        <w:rPr>
          <w:rFonts w:ascii="Aptos Mono" w:hAnsi="Aptos Mono"/>
          <w:color w:val="153B57"/>
          <w:sz w:val="17"/>
        </w:rPr>
        <w:t>/24</w:t>
      </w:r>
      <w:r>
        <w:rPr>
          <w:rFonts w:ascii="Aptos" w:hAnsi="Aptos"/>
        </w:rPr>
        <w:t xml:space="preserve"> OVS domains. A namespace router connects the bridges and allows only generator-to-transform and transform-to-sink policy flows. Container veth pairs provide the endpoint attachments.</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Runtime diagnostics identify policy, route, link, attachment, and application failure layers rather than collapsing them into generic disconnection.</w:t>
      </w:r>
    </w:p>
    <w:p>
      <w:pPr>
        <w:pStyle w:val="Heading2"/>
      </w:pPr>
      <w:r>
        <w:t>7.6 IPvlan L3</w:t>
      </w:r>
    </w:p>
    <w:p>
      <w:r>
        <w:rPr>
          <w:rFonts w:ascii="Aptos" w:hAnsi="Aptos"/>
        </w:rPr>
        <w:t xml:space="preserve">The IPVLAN-L3-semantic example uses three subnets: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OVS plus the GraphX-owned namespace router realize broadcast-free routed behavior without a Docker ipvlan parent or data network.</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IPVLAN-semantic domain. This contrast shows why each logical edge owns a distinct </w:t>
      </w:r>
      <w:r>
        <w:rPr>
          <w:rFonts w:ascii="Aptos Mono" w:hAnsi="Aptos Mono"/>
          <w:color w:val="153B57"/>
          <w:sz w:val="17"/>
        </w:rPr>
        <w:t>edge_path</w:t>
      </w:r>
      <w:r>
        <w:rPr>
          <w:rFonts w:ascii="Aptos" w:hAnsi="Aptos"/>
        </w:rPr>
        <w:t>. One Compose project manages the processes and its private management network; GraphX owns the OVS data plane.</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Routers can be Linux namespaces or containers. They expose named interfaces, routes, forwarding, and backend-neutral source/destination/action policies realized with nftables in the native implementation. Fault declarations apply bounded delay, jitter, loss, and rate behavior to a selected realized endpoint for a mandatory duration; the recorded netem qdisc self-expires and remains exactly cleanable.</w:t>
      </w:r>
    </w:p>
    <w:p>
      <w:pPr>
        <w:pStyle w:val="Heading2"/>
      </w:pPr>
      <w:r>
        <w:t>7.9 Static-route and deny-policy laboratory</w:t>
      </w:r>
    </w:p>
    <w:p>
      <w:r>
        <w:rPr>
          <w:rFonts w:ascii="Aptos" w:hAnsi="Aptos"/>
        </w:rPr>
        <w:t xml:space="preserve">The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and macOS execution</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macOS with Lima</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OVS semantic profiles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Same OVS semantic profiles in guest</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Lima guest system datapath</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Lima guest Linux namespace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veth/TAP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kernel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Lima guest kernel</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Host-local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VM-local capture interfaces and storage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Evidence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Native platform 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Lima ARM64 platform row</w:t>
            </w:r>
          </w:p>
        </w:tc>
      </w:tr>
    </w:tbl>
    <w:p>
      <w:pPr>
        <w:spacing w:after="20"/>
      </w:pPr>
    </w:p>
    <w:p>
      <w:r>
        <w:rPr>
          <w:rFonts w:ascii="Aptos" w:hAnsi="Aptos"/>
        </w:rPr>
        <w:t>OrbStack runs unprivileged application demonstrations on macOS, but it is not a privileged network-infrastructure backend.</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three deployment ownership profiles.</w:t>
      </w:r>
    </w:p>
    <w:p>
      <w:r>
        <w:rPr>
          <w:rFonts w:ascii="Aptos" w:hAnsi="Aptos"/>
        </w:rPr>
        <w:t>All profiles preserve the same guest application and four raw TCP/UDP directions: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All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semantics, and browser integration.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deprecated portable compatibility profile, QEMU and the packet observer run on the host; origin, receiver, telemetry, and GUI run in Docker. Host-side observation avoids container-runtime bind-mount cache delay while a PCAP grows.</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OrbStack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This is a deprecated compatibility profile; TAP/OVS is the default.</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TAP and OVS profile</w:t>
      </w:r>
    </w:p>
    <w:p>
      <w:r>
        <w:rPr>
          <w:rFonts w:ascii="Aptos" w:hAnsi="Aptos"/>
        </w:rPr>
        <w:t>The primary Linux profile, including macOS through Lima, connects the unchanged x86_64 guest to a GraphX-owned persistent TAP and system OVS bridge. The privileged infrastructure lifecycle records the TAP ifindex, alias, OVS Port and Interface UUIDs, owner UID/GID, VLAN metadata, and configuration/graph ownership markers. QEMU runs as dedicated UID/GID 65532 with access to that TAP only; it receives no general network-administration capability.</w:t>
      </w:r>
    </w:p>
    <w:p>
      <w:r>
        <w:rPr>
          <w:rFonts w:ascii="Aptos" w:hAnsi="Aptos"/>
        </w:rPr>
        <w:t xml:space="preserve">The profile proves TCP/UDP unicast, guest MAC learning, access-VLAN reachability, a distinct VLAN's isolation, broadcast/multicast forwarding, and OVS SPAN capture growth. QMP independently confirms TCG runtime state and pause/resume transitions. On Apple Silicon, x86_64 TCG is reported as TCG rather than KVM. Runtime evidence stays on the Lima-native filesystem under </w:t>
      </w:r>
      <w:r>
        <w:rPr>
          <w:rFonts w:ascii="Aptos Mono" w:hAnsi="Aptos Mono"/>
          <w:color w:val="153B57"/>
          <w:sz w:val="17"/>
        </w:rPr>
        <w:t>/var/lib/graphx/qemu/m6</w:t>
      </w:r>
      <w:r>
        <w:rPr>
          <w:rFonts w:ascii="Aptos" w:hAnsi="Aptos"/>
        </w:rPr>
        <w:t>.</w:t>
      </w:r>
    </w:p>
    <w:p>
      <w:pPr>
        <w:pStyle w:val="Heading2"/>
      </w:pPr>
      <w:r>
        <w:t>8.6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8.7 QEMU compatibility and remaining limits</w:t>
      </w:r>
    </w:p>
    <w:p>
      <w:r>
        <w:rPr>
          <w:rFonts w:ascii="Aptos" w:hAnsi="Aptos"/>
        </w:rPr>
        <w:t>The external and container slirp profiles remain compatibility options. Physical-network attachment and guest-native GraphX integration are not implemented. The TAP launcher exposes bounded QMP VM pause/resume, but general guest control remains outside the GraphX runtime control plane.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OrbStack or Linux Docker Engine;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 semantics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on OVS with container veth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or Lima;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 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or Lima;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 semantics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Routed subnets with broadcast-free profile behavior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or Lima;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Cross-domain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or Lima</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QEMU TAP and OVS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Non-root QEMU, owned TAP/OVS/VLAN lifecycle, QMP, SPAN evidence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Lima on Apple Silicon uses x86_64 TCG</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OrbStack or Linux Docker Engine; unprivileged except capture sidecar capabilities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 xml:space="preserve">The consolidated </w:t>
      </w:r>
      <w:r>
        <w:rPr>
          <w:rFonts w:ascii="Aptos Mono" w:hAnsi="Aptos Mono"/>
          <w:color w:val="153B57"/>
          <w:sz w:val="17"/>
        </w:rPr>
        <w:t>docs/demo-guide.md</w:t>
      </w:r>
      <w:r>
        <w:rPr>
          <w:rFonts w:ascii="Aptos" w:hAnsi="Aptos"/>
        </w:rPr>
        <w:t xml:space="preserve"> describes the runnable scenarios. The </w:t>
      </w:r>
      <w:r>
        <w:rPr>
          <w:rFonts w:ascii="Aptos Mono" w:hAnsi="Aptos Mono"/>
          <w:color w:val="153B57"/>
          <w:sz w:val="17"/>
        </w:rPr>
        <w:t>docs/manual-test-procedures.md</w:t>
      </w:r>
      <w:r>
        <w:rPr>
          <w:rFonts w:ascii="Aptos" w:hAnsi="Aptos"/>
        </w:rPr>
        <w:t xml:space="preserve"> document defines macOS and Linux system acceptance without conflating Lima ARM64, native Linux, TCG, or KVM evidence.</w:t>
      </w:r>
    </w:p>
    <w:p>
      <w:pPr>
        <w:pStyle w:val="Heading1"/>
      </w:pPr>
      <w:r>
        <w:t>11. Architectural limits, drift, and risks</w:t>
      </w:r>
    </w:p>
    <w:p>
      <w:pPr>
        <w:pStyle w:val="Heading2"/>
      </w:pPr>
      <w:r>
        <w:t>11.1 Current limits</w:t>
      </w:r>
    </w:p>
    <w:p>
      <w:pPr>
        <w:pStyle w:val="ListBullet"/>
      </w:pPr>
      <w:r>
        <w:rPr>
          <w:rFonts w:ascii="Aptos" w:hAnsi="Aptos"/>
        </w:rPr>
        <w:t>Graph configuration rejects cycles in the GraphX-managed data plane and native one-to-many graph edges. Descriptive external raw edges may form device data/control loops.</w:t>
      </w:r>
    </w:p>
    <w:p>
      <w:pPr>
        <w:pStyle w:val="ListBullet"/>
      </w:pPr>
      <w:r>
        <w:rPr>
          <w:rFonts w:ascii="Aptos" w:hAnsi="Aptos"/>
        </w:rPr>
        <w:t>Infrastructure tooling persists identity and transaction state but does not reconcile arbitrary drift into a desired state.</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Application USER0 capture stops at its limit; Ethernet mirror capture uses</w:t>
      </w:r>
    </w:p>
    <w:p>
      <w:r>
        <w:rPr>
          <w:rFonts w:ascii="Aptos" w:hAnsi="Aptos"/>
        </w:rPr>
        <w:t>a bounded rotating ring and retains sealed sessions for an external evidence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slirp compatibility profiles do not model physical L2; the TAP profile covers OVS L2/VLAN behavior but not physical-network attachment or guest-native GraphX control.</w:t>
      </w:r>
    </w:p>
    <w:p>
      <w:pPr>
        <w:pStyle w:val="ListBullet"/>
      </w:pPr>
      <w:r>
        <w:rPr>
          <w:rFonts w:ascii="Aptos" w:hAnsi="Aptos"/>
        </w:rPr>
        <w:t>OrbStack is not a privileged network-lab backend; macOS uses Lima.</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 xml:space="preserve">Root documentation identifies GraphX 1.1.0; historical implementation and verification records remain non-normative under </w:t>
      </w:r>
      <w:r>
        <w:rPr>
          <w:rFonts w:ascii="Aptos Mono" w:hAnsi="Aptos Mono"/>
          <w:color w:val="153B57"/>
          <w:sz w:val="17"/>
        </w:rPr>
        <w:t>docs/archive/</w:t>
      </w:r>
      <w:r>
        <w:rPr>
          <w:rFonts w:ascii="Aptos" w:hAnsi="Aptos"/>
        </w:rPr>
        <w:t>.</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static-route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 Implemented SDR, route-policy, and QEMU workflows are listed in section 10 and documented in the demo guide.</w:t>
      </w:r>
    </w:p>
    <w:p>
      <w:pPr>
        <w:pStyle w:val="Heading2"/>
      </w:pPr>
      <w:r>
        <w:t>12.1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12.2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12.3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Architectural change control</w:t>
      </w:r>
    </w:p>
    <w:p>
      <w:r>
        <w:rPr>
          <w:rFonts w:ascii="Aptos" w:hAnsi="Aptos"/>
        </w:rPr>
        <w:t xml:space="preserve">New features must preserve the current decision guide and accepted ADRs. A change to the configuration authority, OVS-only backend, macOS OrbStack/Lima split, compatibility window, or identity-safe ownership boundary requires a new or superseding ADR before implementation. IPv6, authenticated UDP/DTLS, graph fan-out, physical-device attachment, and distributed telemetry/control remain separate decisions rather than implied extensions of the current model. Completed migration plans and verification evidence are preserved under </w:t>
      </w:r>
      <w:r>
        <w:rPr>
          <w:rFonts w:ascii="Aptos Mono" w:hAnsi="Aptos Mono"/>
          <w:color w:val="153B57"/>
          <w:sz w:val="17"/>
        </w:rPr>
        <w:t>docs/archive/</w:t>
      </w:r>
      <w:r>
        <w:rPr>
          <w:rFonts w:ascii="Aptos" w:hAnsi="Aptos"/>
        </w:rPr>
        <w:t xml:space="preserve"> and are not instructions for current work.</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docs/adr/0019-*.md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src/config_common.cpp</w:t>
            </w:r>
            <w:r>
              <w:rPr>
                <w:rFonts w:ascii="Aptos" w:hAnsi="Aptos"/>
                <w:b w:val="0"/>
                <w:color w:val="111820"/>
                <w:sz w:val="17"/>
              </w:rPr>
              <w:t xml:space="preserve">, </w:t>
            </w:r>
            <w:r>
              <w:rPr>
                <w:rFonts w:ascii="Aptos" w:hAnsi="Aptos"/>
                <w:b w:val="0"/>
                <w:color w:val="111820"/>
                <w:sz w:val="17"/>
              </w:rPr>
              <w:t>src/config_v1_compat.cpp</w:t>
            </w:r>
            <w:r>
              <w:rPr>
                <w:rFonts w:ascii="Aptos" w:hAnsi="Aptos"/>
                <w:b w:val="0"/>
                <w:color w:val="111820"/>
                <w:sz w:val="17"/>
              </w:rPr>
              <w:t xml:space="preserve">, </w:t>
            </w:r>
            <w:r>
              <w:rPr>
                <w:rFonts w:ascii="Aptos" w:hAnsi="Aptos"/>
                <w:b w:val="0"/>
                <w:color w:val="111820"/>
                <w:sz w:val="17"/>
              </w:rPr>
              <w:t>src/config_v2.cpp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(configuration and listener wiring), </w:t>
            </w:r>
            <w:r>
              <w:rPr>
                <w:rFonts w:ascii="Aptos" w:hAnsi="Aptos"/>
                <w:b w:val="0"/>
                <w:color w:val="111820"/>
                <w:sz w:val="17"/>
              </w:rPr>
              <w:t>collector.mjs</w:t>
            </w:r>
            <w:r>
              <w:rPr>
                <w:rFonts w:ascii="Aptos" w:hAnsi="Aptos"/>
                <w:b w:val="0"/>
                <w:color w:val="111820"/>
                <w:sz w:val="17"/>
              </w:rPr>
              <w:t xml:space="preserve"> (in-process collector lifecycle), </w:t>
            </w:r>
            <w:r>
              <w:rPr>
                <w:rFonts w:ascii="Aptos" w:hAnsi="Aptos"/>
                <w:b w:val="0"/>
                <w:color w:val="111820"/>
                <w:sz w:val="17"/>
              </w:rPr>
              <w:t>http-routes.mjs</w:t>
            </w:r>
            <w:r>
              <w:rPr>
                <w:rFonts w:ascii="Aptos" w:hAnsi="Aptos"/>
                <w:b w:val="0"/>
                <w:color w:val="111820"/>
                <w:sz w:val="17"/>
              </w:rPr>
              <w:t xml:space="preserve">, </w:t>
            </w:r>
            <w:r>
              <w:rPr>
                <w:rFonts w:ascii="Aptos" w:hAnsi="Aptos"/>
                <w:b w:val="0"/>
                <w:color w:val="111820"/>
                <w:sz w:val="17"/>
              </w:rPr>
              <w:t>topology.mjs</w:t>
            </w:r>
            <w:r>
              <w:rPr>
                <w:rFonts w:ascii="Aptos" w:hAnsi="Aptos"/>
                <w:b w:val="0"/>
                <w:color w:val="111820"/>
                <w:sz w:val="17"/>
              </w:rPr>
              <w:t xml:space="preserve">, </w:t>
            </w:r>
            <w:r>
              <w:rPr>
                <w:rFonts w:ascii="Aptos" w:hAnsi="Aptos"/>
                <w:b w:val="0"/>
                <w:color w:val="111820"/>
                <w:sz w:val="17"/>
              </w:rPr>
              <w:t>metric-store.mjs</w:t>
            </w:r>
            <w:r>
              <w:rPr>
                <w:rFonts w:ascii="Aptos" w:hAnsi="Aptos"/>
                <w:b w:val="0"/>
                <w:color w:val="111820"/>
                <w:sz w:val="17"/>
              </w:rPr>
              <w:t xml:space="preserve">, </w:t>
            </w:r>
            <w:r>
              <w:rPr>
                <w:rFonts w:ascii="Aptos" w:hAnsi="Aptos"/>
                <w:b w:val="0"/>
                <w:color w:val="111820"/>
                <w:sz w:val="17"/>
              </w:rPr>
              <w:t>runtime-evidence.mjs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Current decisions and historical verification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docs/project-decisions.md</w:t>
            </w:r>
            <w:r>
              <w:rPr>
                <w:rFonts w:ascii="Aptos" w:hAnsi="Aptos"/>
                <w:b w:val="0"/>
                <w:color w:val="111820"/>
                <w:sz w:val="17"/>
              </w:rPr>
              <w:t xml:space="preserve">, </w:t>
            </w:r>
            <w:r>
              <w:rPr>
                <w:rFonts w:ascii="Aptos" w:hAnsi="Aptos"/>
                <w:b w:val="0"/>
                <w:color w:val="111820"/>
                <w:sz w:val="17"/>
              </w:rPr>
              <w:t>docs/archive/README.md</w:t>
            </w:r>
            <w:r>
              <w:rPr>
                <w:rFonts w:ascii="Aptos" w:hAnsi="Aptos"/>
                <w:b w:val="0"/>
                <w:color w:val="111820"/>
                <w:sz w:val="17"/>
              </w:rPr>
              <w:t xml:space="preserve">, and accepted records under </w:t>
            </w:r>
            <w:r>
              <w:rPr>
                <w:rFonts w:ascii="Aptos" w:hAnsi="Aptos"/>
                <w:b w:val="0"/>
                <w:color w:val="111820"/>
                <w:sz w:val="17"/>
              </w:rPr>
              <w:t>docs/adr/</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1182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1182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118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11182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