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2563A6"/>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1.1.0</w:t>
              <w:br/>
              <w:t>Repository architecture baseline</w:t>
              <w:br/>
              <w:t>Reviewed 2026-09-07</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version-1 </w:t>
      </w:r>
      <w:r>
        <w:rPr>
          <w:rFonts w:ascii="Aptos Mono" w:hAnsi="Aptos Mono"/>
          <w:color w:val="153B57"/>
          <w:sz w:val="17"/>
        </w:rPr>
        <w:t>graphx.yaml</w:t>
      </w:r>
      <w:r>
        <w:rPr>
          <w:rFonts w:ascii="Aptos" w:hAnsi="Aptos"/>
        </w:rPr>
        <w:t xml:space="preserve"> file is the authoritative source for these views. The C++ loader and the telemetry service both validate and normalize it,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two profiles: host-managed QEMU for macOS/Linux portability, and least-privilege containerized QEMU with optional KVM for native Linux.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configuration version 1 allows only DAGs for GraphX-managed execution (external raw device relationships may loop); infrastructure provisioning is create/destroy rather than reconciliation; UDP is bounded but unreliable; multicast remains one logical producer-to-consumer edge; capture does not rotate automatically; OVS and application captures are not automatically cross-correlated; QEMU uses user-mode networking rather than TAP; and the telemetry/control system is a single-collector control domain rather than a distributed control plane.</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 model, JSON Schema, semantic validation,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manual-route activation</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Kept teaching-state transitions declared, reviewable, and narrow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install: manual</w:t>
            </w:r>
            <w:r>
              <w:rPr>
                <w:rFonts w:ascii="Aptos" w:hAnsi="Aptos"/>
                <w:b w:val="0"/>
                <w:color w:val="111820"/>
                <w:sz w:val="17"/>
              </w:rPr>
              <w:t xml:space="preserve">, exact </w:t>
            </w:r>
            <w:r>
              <w:rPr>
                <w:rFonts w:ascii="Aptos" w:hAnsi="Aptos"/>
                <w:b w:val="0"/>
                <w:color w:val="111820"/>
                <w:sz w:val="17"/>
              </w:rPr>
              <w:t>graphx infra route apply/clear</w:t>
            </w:r>
            <w:r>
              <w:rPr>
                <w:rFonts w:ascii="Aptos" w:hAnsi="Aptos"/>
                <w:b w:val="0"/>
                <w:color w:val="111820"/>
                <w:sz w:val="17"/>
              </w:rPr>
              <w:t>, strict evidence projection</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 1 is organized as follows: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networks, interfaces,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Unknown keys on core surfaces are rejected.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Version 1 requires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The standard demo runs generator, transform, sink, and telemetry as hardened Compose services on a private bridge. Network laboratories use separate Compose projects attached to external networks owned by the infrastructure lifecycle.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configuration and plans network infrastructure.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manage host/network resources; Compose manages application services; QEMU demo scripts manage their own host or container VM resources. These owners must be stopped in dependency order: application workloads first, then external networks and host infrastructure.</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mirrors, and path connectivity before infrastructure commands run. Plans execute argument arrays without a shell and can be reviewed with </w:t>
      </w:r>
      <w:r>
        <w:rPr>
          <w:rFonts w:ascii="Aptos Mono" w:hAnsi="Aptos Mono"/>
          <w:color w:val="153B57"/>
          <w:sz w:val="17"/>
        </w:rPr>
        <w:t>--dry-run</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Static-route and deny-policy laboratory</w:t>
      </w:r>
    </w:p>
    <w:p>
      <w:r>
        <w:rPr>
          <w:rFonts w:ascii="Aptos" w:hAnsi="Aptos"/>
        </w:rPr>
        <w:t xml:space="preserve">The Phase 14 </w:t>
      </w:r>
      <w:r>
        <w:rPr>
          <w:rFonts w:ascii="Aptos Mono" w:hAnsi="Aptos Mono"/>
          <w:color w:val="153B57"/>
          <w:sz w:val="17"/>
        </w:rPr>
        <w:t>examples/static-route-policy</w:t>
      </w:r>
      <w:r>
        <w:rPr>
          <w:rFonts w:ascii="Aptos" w:hAnsi="Aptos"/>
        </w:rPr>
        <w:t xml:space="preserve"> laboratory is the focused route and policy reference. Three OVS-backed Layer-2 domains meet at one namespace router. The left-to-middle flow is receiver-confirmed, the reverse flow is denied by a named nftables rule and counter, and the left-to-right diagnostic address is unreachable until an exact declared route is applied.</w:t>
      </w:r>
    </w:p>
    <w:p>
      <w:pPr>
        <w:pStyle w:val="Code"/>
        <w:keepLines/>
        <w:spacing w:before="80" w:after="160"/>
        <w:shd w:fill="F3F5F7"/>
      </w:pPr>
      <w:r>
        <w:rPr>
          <w:rFonts w:ascii="Aptos Mono" w:hAnsi="Aptos Mono"/>
          <w:color w:val="17324D"/>
          <w:sz w:val="16"/>
        </w:rPr>
        <w:t>left 10.64.1.10   -&gt; br-route-left   --+</w:t>
        <w:br/>
        <w:t>middle 10.64.2.10 -&gt; br-route-middle --+-&gt; gx-route-router -&gt; br-route-right -&gt; right</w:t>
        <w:br/>
        <w:t xml:space="preserve">                                                                     10.64.30.10/32</w:t>
      </w:r>
    </w:p>
    <w:p>
      <w:r>
        <w:rPr>
          <w:rFonts w:ascii="Aptos" w:hAnsi="Aptos"/>
        </w:rPr>
        <w:t xml:space="preserve">Routes normally install during infrastructure creation. A route with </w:t>
      </w:r>
      <w:r>
        <w:rPr>
          <w:rFonts w:ascii="Aptos Mono" w:hAnsi="Aptos Mono"/>
          <w:color w:val="153B57"/>
          <w:sz w:val="17"/>
        </w:rPr>
        <w:t>install: manual</w:t>
      </w:r>
      <w:r>
        <w:rPr>
          <w:rFonts w:ascii="Aptos" w:hAnsi="Aptos"/>
        </w:rPr>
        <w:t xml:space="preserve"> remains part of the validated model and dry-run plan surface, but </w:t>
      </w:r>
      <w:r>
        <w:rPr>
          <w:rFonts w:ascii="Aptos Mono" w:hAnsi="Aptos Mono"/>
          <w:color w:val="153B57"/>
          <w:sz w:val="17"/>
        </w:rPr>
        <w:t>create</w:t>
      </w:r>
      <w:r>
        <w:rPr>
          <w:rFonts w:ascii="Aptos" w:hAnsi="Aptos"/>
        </w:rPr>
        <w:t xml:space="preserve"> omits it. The CLI may then apply or clear only the exact destination declared for the selected router. This is deliberately narrower than accepting arbitrary route arguments from the browser or shell environment.</w:t>
      </w:r>
    </w:p>
    <w:p>
      <w:r>
        <w:rPr>
          <w:rFonts w:ascii="Aptos" w:hAnsi="Aptos"/>
        </w:rPr>
        <w:t xml:space="preserve">Each bridge mirrors traffic to a dedicated capture veth. The lab records a bounded, user-readable Ethernet PCAPNG and a strict, atomically replaced JSON evidence projection. Telemetry accepts only known edge IDs and the four states </w:t>
      </w:r>
      <w:r>
        <w:rPr>
          <w:rFonts w:ascii="Aptos Mono" w:hAnsi="Aptos Mono"/>
          <w:color w:val="153B57"/>
          <w:sz w:val="17"/>
        </w:rPr>
        <w:t>allowed</w:t>
      </w:r>
      <w:r>
        <w:rPr>
          <w:rFonts w:ascii="Aptos" w:hAnsi="Aptos"/>
        </w:rPr>
        <w:t xml:space="preserve">, </w:t>
      </w:r>
      <w:r>
        <w:rPr>
          <w:rFonts w:ascii="Aptos Mono" w:hAnsi="Aptos Mono"/>
          <w:color w:val="153B57"/>
          <w:sz w:val="17"/>
        </w:rPr>
        <w:t>policy-denied</w:t>
      </w:r>
      <w:r>
        <w:rPr>
          <w:rFonts w:ascii="Aptos" w:hAnsi="Aptos"/>
        </w:rPr>
        <w:t xml:space="preserve">, </w:t>
      </w:r>
      <w:r>
        <w:rPr>
          <w:rFonts w:ascii="Aptos Mono" w:hAnsi="Aptos Mono"/>
          <w:color w:val="153B57"/>
          <w:sz w:val="17"/>
        </w:rPr>
        <w:t>missing-route</w:t>
      </w:r>
      <w:r>
        <w:rPr>
          <w:rFonts w:ascii="Aptos" w:hAnsi="Aptos"/>
        </w:rPr>
        <w:t xml:space="preserve">, and </w:t>
      </w:r>
      <w:r>
        <w:rPr>
          <w:rFonts w:ascii="Aptos Mono" w:hAnsi="Aptos Mono"/>
          <w:color w:val="153B57"/>
          <w:sz w:val="17"/>
        </w:rPr>
        <w:t>route-applied</w:t>
      </w:r>
      <w:r>
        <w:rPr>
          <w:rFonts w:ascii="Aptos" w:hAnsi="Aptos"/>
        </w:rPr>
        <w:t>; the Application and Network views color every logical/path edge consistently and show the evidence type in the inspector. Receiver results and nftables/kernel state are authoritative; capture and GUI are corroborating views.</w:t>
      </w:r>
    </w:p>
    <w:p>
      <w:r>
        <w:rPr>
          <w:rFonts w:ascii="Aptos" w:hAnsi="Aptos"/>
        </w:rPr>
        <w:t>The native launcher refuses occupied fixed names and address ranges, marks OVS and namespace resources with a random run owner, checks those markers before cleanup, retains evidence, and supports repeated stop. Portable inspection validates configuration and exact command generation only. Native Linux remains required to accept routing, policy, mirroring, delivery, and host-isolation claims.</w:t>
      </w:r>
    </w:p>
    <w:p>
      <w:pPr>
        <w:pStyle w:val="Heading2"/>
      </w:pPr>
      <w:r>
        <w:t>7.10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two deployment ownership profiles.</w:t>
      </w:r>
    </w:p>
    <w:p>
      <w:r>
        <w:rPr>
          <w:rFonts w:ascii="Aptos" w:hAnsi="Aptos"/>
        </w:rPr>
        <w:t>Both profiles use the same three logical nodes and four raw edges: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Both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service, and browser.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8.6 Deferred QEMU network modes</w:t>
      </w:r>
    </w:p>
    <w:p>
      <w:r>
        <w:rPr>
          <w:rFonts w:ascii="Aptos" w:hAnsi="Aptos"/>
        </w:rPr>
        <w:t>TAP/bridge networking, guest multicast/broadcast, physical-network attachment, direct guest control, and guest-native GraphX integration are not implemented. These are sensible future profiles, but each would require a new security and lifecycle decision rather than an incidental Compose change.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Static route/policy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Three OVS domains, ordered allow/deny rules, explicit route transition, GUI diagnostics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Desktop or Linux; unprivileged except capture sidecar capabilities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bl>
    <w:p>
      <w:pPr>
        <w:spacing w:after="20"/>
      </w:pPr>
    </w:p>
    <w:p>
      <w:pPr>
        <w:pStyle w:val="Heading2"/>
      </w:pPr>
      <w:r>
        <w:t>10.1 How examples, demos, and tests relate to the system</w:t>
      </w:r>
    </w:p>
    <w:p>
      <w:r>
        <w:rPr>
          <w:rFonts w:ascii="Aptos" w:hAnsi="Aptos"/>
        </w:rPr>
        <w:t>Examples, demos, and tests are not parallel implementations of GraphX. They are different evidence layers over the same configuration, runtime, infrastructure, observation, and presentation components:</w:t>
      </w:r>
    </w:p>
    <w:p>
      <w:pPr>
        <w:keepNext/>
        <w:jc w:val="center"/>
      </w:pPr>
      <w:r>
        <w:drawing>
          <wp:inline xmlns:a="http://schemas.openxmlformats.org/drawingml/2006/main" xmlns:pic="http://schemas.openxmlformats.org/drawingml/2006/picture">
            <wp:extent cx="6126480" cy="3335528"/>
            <wp:docPr id="6" name="Picture 6"/>
            <wp:cNvGraphicFramePr>
              <a:graphicFrameLocks noChangeAspect="1"/>
            </wp:cNvGraphicFramePr>
            <a:graphic>
              <a:graphicData uri="http://schemas.openxmlformats.org/drawingml/2006/picture">
                <pic:pic>
                  <pic:nvPicPr>
                    <pic:cNvPr id="0" name="architecture-evidence-flow.png"/>
                    <pic:cNvPicPr/>
                  </pic:nvPicPr>
                  <pic:blipFill>
                    <a:blip r:embed="rId16"/>
                    <a:stretch>
                      <a:fillRect/>
                    </a:stretch>
                  </pic:blipFill>
                  <pic:spPr>
                    <a:xfrm>
                      <a:off x="0" y="0"/>
                      <a:ext cx="6126480" cy="3335528"/>
                    </a:xfrm>
                    <a:prstGeom prst="rect"/>
                  </pic:spPr>
                </pic:pic>
              </a:graphicData>
            </a:graphic>
          </wp:inline>
        </w:drawing>
      </w:r>
    </w:p>
    <w:p>
      <w:pPr>
        <w:pStyle w:val="Caption"/>
        <w:spacing w:after="200"/>
        <w:jc w:val="center"/>
      </w:pPr>
      <w:r>
        <w:t>Figure 6. Traceability from architecture through examples, demos, tests, and verification.</w:t>
      </w:r>
    </w:p>
    <w:p>
      <w:pPr>
        <w:pStyle w:val="ListBullet"/>
      </w:pPr>
      <w:r>
        <w:rPr>
          <w:rFonts w:ascii="Aptos" w:hAnsi="Aptos"/>
        </w:rPr>
        <w:t xml:space="preserve">An </w:t>
      </w:r>
      <w:r>
        <w:rPr>
          <w:rFonts w:ascii="Aptos" w:hAnsi="Aptos"/>
          <w:b/>
        </w:rPr>
        <w:t>example</w:t>
      </w:r>
      <w:r>
        <w:rPr>
          <w:rFonts w:ascii="Aptos" w:hAnsi="Aptos"/>
        </w:rPr>
        <w:t xml:space="preserve"> is a checked-in configuration plus the smallest code or</w:t>
      </w:r>
    </w:p>
    <w:p>
      <w:r>
        <w:rPr>
          <w:rFonts w:ascii="Aptos" w:hAnsi="Aptos"/>
        </w:rPr>
        <w:t>Compose assets needed to illustrate one architectural concern.</w:t>
      </w:r>
    </w:p>
    <w:p>
      <w:pPr>
        <w:pStyle w:val="ListBullet"/>
      </w:pPr>
      <w:r>
        <w:rPr>
          <w:rFonts w:ascii="Aptos" w:hAnsi="Aptos"/>
        </w:rPr>
        <w:t xml:space="preserve">A </w:t>
      </w:r>
      <w:r>
        <w:rPr>
          <w:rFonts w:ascii="Aptos" w:hAnsi="Aptos"/>
          <w:b/>
        </w:rPr>
        <w:t>demo</w:t>
      </w:r>
      <w:r>
        <w:rPr>
          <w:rFonts w:ascii="Aptos" w:hAnsi="Aptos"/>
        </w:rPr>
        <w:t xml:space="preserve"> is an operator-facing lifecycle around one or more examples. It</w:t>
      </w:r>
    </w:p>
    <w:p>
      <w:r>
        <w:rPr>
          <w:rFonts w:ascii="Aptos" w:hAnsi="Aptos"/>
        </w:rPr>
        <w:t>starts real components, exposes observable success criteria, and owns cleanup.</w:t>
      </w:r>
    </w:p>
    <w:p>
      <w:pPr>
        <w:pStyle w:val="ListBullet"/>
      </w:pPr>
      <w:r>
        <w:rPr>
          <w:rFonts w:ascii="Aptos" w:hAnsi="Aptos"/>
        </w:rPr>
        <w:t xml:space="preserve">A </w:t>
      </w:r>
      <w:r>
        <w:rPr>
          <w:rFonts w:ascii="Aptos" w:hAnsi="Aptos"/>
          <w:b/>
        </w:rPr>
        <w:t>test</w:t>
      </w:r>
      <w:r>
        <w:rPr>
          <w:rFonts w:ascii="Aptos" w:hAnsi="Aptos"/>
        </w:rPr>
        <w:t xml:space="preserve"> checks a bounded contract. Unit tests isolate implementation;</w:t>
      </w:r>
    </w:p>
    <w:p>
      <w:r>
        <w:rPr>
          <w:rFonts w:ascii="Aptos" w:hAnsi="Aptos"/>
        </w:rPr>
        <w:t>portable integration runs real host/Docker behavior; native-Linux acceptance proves kernel and host-network semantics that cannot be simulated faithfully.</w:t>
      </w:r>
    </w:p>
    <w:p>
      <w:pPr>
        <w:pStyle w:val="ListBullet"/>
      </w:pPr>
      <w:r>
        <w:rPr>
          <w:rFonts w:ascii="Aptos" w:hAnsi="Aptos"/>
        </w:rPr>
        <w:t xml:space="preserve">A </w:t>
      </w:r>
      <w:r>
        <w:rPr>
          <w:rFonts w:ascii="Aptos" w:hAnsi="Aptos"/>
          <w:b/>
        </w:rPr>
        <w:t>verification profile</w:t>
      </w:r>
      <w:r>
        <w:rPr>
          <w:rFonts w:ascii="Aptos" w:hAnsi="Aptos"/>
        </w:rPr>
        <w:t xml:space="preserve"> aggregates tests but does not change what they</w:t>
      </w:r>
    </w:p>
    <w:p>
      <w:r>
        <w:rPr>
          <w:rFonts w:ascii="Aptos" w:hAnsi="Aptos"/>
        </w:rPr>
        <w:t>prove. A report must retain platform, commit, logs, manual evidence, and skips.</w:t>
      </w:r>
    </w:p>
    <w:p>
      <w:pPr>
        <w:pStyle w:val="Heading2"/>
      </w:pPr>
      <w:r>
        <w:t>10.2 Component and evidence traceability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val="true"/>
        </w:trPr>
        <w:tc>
          <w:tcPr>
            <w:tcW w:type="dxa" w:w="1944"/>
            <w:vAlign w:val="center"/>
            <w:tcMar>
              <w:top w:w="90" w:type="dxa"/>
              <w:start w:w="110" w:type="dxa"/>
              <w:bottom w:w="90" w:type="dxa"/>
              <w:end w:w="110" w:type="dxa"/>
            </w:tcMar>
            <w:shd w:fill="17324D"/>
          </w:tcPr>
          <w:p>
            <w:pPr>
              <w:spacing w:after="0"/>
            </w:pPr>
            <w:r>
              <w:rPr>
                <w:rFonts w:ascii="Aptos" w:hAnsi="Aptos"/>
                <w:b/>
                <w:color w:val="FFFFFF"/>
                <w:sz w:val="16"/>
              </w:rPr>
              <w:t>System component</w:t>
            </w:r>
          </w:p>
        </w:tc>
        <w:tc>
          <w:tcPr>
            <w:tcW w:type="dxa" w:w="2952"/>
            <w:vAlign w:val="center"/>
            <w:tcMar>
              <w:top w:w="90" w:type="dxa"/>
              <w:start w:w="110" w:type="dxa"/>
              <w:bottom w:w="90" w:type="dxa"/>
              <w:end w:w="110" w:type="dxa"/>
            </w:tcMar>
            <w:shd w:fill="17324D"/>
          </w:tcPr>
          <w:p>
            <w:pPr>
              <w:spacing w:after="0"/>
            </w:pPr>
            <w:r>
              <w:rPr>
                <w:rFonts w:ascii="Aptos" w:hAnsi="Aptos"/>
                <w:b/>
                <w:color w:val="FFFFFF"/>
                <w:sz w:val="16"/>
              </w:rPr>
              <w:t>Primary examples or demos</w:t>
            </w:r>
          </w:p>
        </w:tc>
        <w:tc>
          <w:tcPr>
            <w:tcW w:type="dxa" w:w="2232"/>
            <w:vAlign w:val="center"/>
            <w:tcMar>
              <w:top w:w="90" w:type="dxa"/>
              <w:start w:w="110" w:type="dxa"/>
              <w:bottom w:w="90" w:type="dxa"/>
              <w:end w:w="110" w:type="dxa"/>
            </w:tcMar>
            <w:shd w:fill="17324D"/>
          </w:tcPr>
          <w:p>
            <w:pPr>
              <w:spacing w:after="0"/>
            </w:pPr>
            <w:r>
              <w:rPr>
                <w:rFonts w:ascii="Aptos" w:hAnsi="Aptos"/>
                <w:b/>
                <w:color w:val="FFFFFF"/>
                <w:sz w:val="16"/>
              </w:rPr>
              <w:t>Automated evidence</w:t>
            </w:r>
          </w:p>
        </w:tc>
        <w:tc>
          <w:tcPr>
            <w:tcW w:type="dxa" w:w="2448"/>
            <w:vAlign w:val="center"/>
            <w:tcMar>
              <w:top w:w="90" w:type="dxa"/>
              <w:start w:w="110" w:type="dxa"/>
              <w:bottom w:w="90" w:type="dxa"/>
              <w:end w:w="110" w:type="dxa"/>
            </w:tcMar>
            <w:shd w:fill="17324D"/>
          </w:tcPr>
          <w:p>
            <w:pPr>
              <w:spacing w:after="0"/>
            </w:pPr>
            <w:r>
              <w:rPr>
                <w:rFonts w:ascii="Aptos" w:hAnsi="Aptos"/>
                <w:b/>
                <w:color w:val="FFFFFF"/>
                <w:sz w:val="16"/>
              </w:rPr>
              <w:t>Manual/system evidence</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Configuration loader, schema, projections</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 xml:space="preserve">Every </w:t>
            </w:r>
            <w:r>
              <w:rPr>
                <w:rFonts w:ascii="Aptos" w:hAnsi="Aptos"/>
                <w:b w:val="0"/>
                <w:color w:val="111820"/>
                <w:sz w:val="16"/>
              </w:rPr>
              <w:t>graphx.yaml</w:t>
            </w:r>
            <w:r>
              <w:rPr>
                <w:rFonts w:ascii="Aptos" w:hAnsi="Aptos"/>
                <w:b w:val="0"/>
                <w:color w:val="111820"/>
                <w:sz w:val="16"/>
              </w:rPr>
              <w:t>; root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graphx-config-*</w:t>
            </w:r>
            <w:r>
              <w:rPr>
                <w:rFonts w:ascii="Aptos" w:hAnsi="Aptos"/>
                <w:b w:val="0"/>
                <w:color w:val="111820"/>
                <w:sz w:val="16"/>
              </w:rPr>
              <w:t>, schema/AJV, projection and documentation CTests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graphx validate</w:t>
            </w:r>
            <w:r>
              <w:rPr>
                <w:rFonts w:ascii="Aptos" w:hAnsi="Aptos"/>
                <w:b w:val="0"/>
                <w:color w:val="111820"/>
                <w:sz w:val="16"/>
              </w:rPr>
              <w:t xml:space="preserve">, </w:t>
            </w:r>
            <w:r>
              <w:rPr>
                <w:rFonts w:ascii="Aptos" w:hAnsi="Aptos"/>
                <w:b w:val="0"/>
                <w:color w:val="111820"/>
                <w:sz w:val="16"/>
              </w:rPr>
              <w:t>inspect</w:t>
            </w:r>
            <w:r>
              <w:rPr>
                <w:rFonts w:ascii="Aptos" w:hAnsi="Aptos"/>
                <w:b w:val="0"/>
                <w:color w:val="111820"/>
                <w:sz w:val="16"/>
              </w:rPr>
              <w:t>, and reviewed infra dry-runs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Envelope, framing, identity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Standard TCP, capture, shared memory, UDP</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 unit/golden tests, malformed cases, envelope/frame fuzzers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USER0 PCAPNG decoded with Lua/extcap</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Transport factory and lifecycle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Standard TCP, shared memory, UDP examples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CTest transport suites, finite pipelines, SIGTERM and reconnect checks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Process output, delivery counts, clean shutdown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Infrastructure planner/executor</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network labs, route/policy lab</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Config/planner/transaction tests and portable dry-run assertions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Native links, OVS, namespace, route, policy, netem, and cleanup inspection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Deployment and ownership</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Compose, separate network projects, QEMU/SDR launchers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Compose rendering, hardening and lifecycle script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Container/device boundaries, ownership markers, repeated teardown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Telemetry and operations</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 route/policy demos</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Node tests, HTTP/WebSocket integration, Prometheus/SLO/OTLP checks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Live counters, readiness, bounded failure behavior</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Control and security</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source control, SDR mTLS relay</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Authentication, authorization, anti-replay, rotation, redaction and audit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Token workflow, pause/resume, direct SDR command rejection/success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History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SQLite worker, retention, restart, query/auth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History navigation and persistence across collector restart</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Application capture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capture example</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PCAPNG writer, security, catalog, download, Lua/extcap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Message identity and frame inspection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Ethernet capture</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OVS labs, QEMU, SDR, route/policy</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Observer/parser tests and portable simulated captures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SPAN/live capture, TShark decode, receiver/counter correlation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Browser presentation</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every graphical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React/node component tests and production build</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Application/Network/History transitions and live updates without refresh</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External-node model</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QEMU and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 raw-edge rejection, observer, QMP/probe, SDR protocol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VM acceleration/readiness or native SDR-path evidence</w:t>
            </w:r>
          </w:p>
        </w:tc>
      </w:tr>
    </w:tbl>
    <w:p>
      <w:pPr>
        <w:spacing w:after="20"/>
      </w:pPr>
    </w:p>
    <w:p>
      <w:r>
        <w:rPr>
          <w:rFonts w:ascii="Aptos" w:hAnsi="Aptos"/>
        </w:rPr>
        <w:t>The shortest path from architecture to evidence is therefore:</w:t>
      </w:r>
    </w:p>
    <w:p>
      <w:pPr>
        <w:ind w:left="403" w:hanging="288"/>
      </w:pPr>
      <w:r>
        <w:rPr>
          <w:rFonts w:ascii="Aptos" w:hAnsi="Aptos"/>
        </w:rPr>
        <w:t>1. the architecture and ADR define a boundary;</w:t>
      </w:r>
    </w:p>
    <w:p>
      <w:pPr>
        <w:ind w:left="403" w:hanging="288"/>
      </w:pPr>
      <w:r>
        <w:rPr>
          <w:rFonts w:ascii="Aptos" w:hAnsi="Aptos"/>
        </w:rPr>
        <w:t xml:space="preserve">2. </w:t>
      </w:r>
      <w:r>
        <w:rPr>
          <w:rFonts w:ascii="Aptos Mono" w:hAnsi="Aptos Mono"/>
          <w:color w:val="153B57"/>
          <w:sz w:val="17"/>
        </w:rPr>
        <w:t>graphx.yaml</w:t>
      </w:r>
      <w:r>
        <w:rPr>
          <w:rFonts w:ascii="Aptos" w:hAnsi="Aptos"/>
        </w:rPr>
        <w:t xml:space="preserve"> expresses it in an example;</w:t>
      </w:r>
    </w:p>
    <w:p>
      <w:pPr>
        <w:ind w:left="403" w:hanging="288"/>
      </w:pPr>
      <w:r>
        <w:rPr>
          <w:rFonts w:ascii="Aptos" w:hAnsi="Aptos"/>
        </w:rPr>
        <w:t>3. a demo makes the example observable and repeatably cleanable;</w:t>
      </w:r>
    </w:p>
    <w:p>
      <w:pPr>
        <w:ind w:left="403" w:hanging="288"/>
      </w:pPr>
      <w:r>
        <w:rPr>
          <w:rFonts w:ascii="Aptos" w:hAnsi="Aptos"/>
        </w:rPr>
        <w:t>4. focused tests validate individual contracts;</w:t>
      </w:r>
    </w:p>
    <w:p>
      <w:pPr>
        <w:ind w:left="403" w:hanging="288"/>
      </w:pPr>
      <w:r>
        <w:rPr>
          <w:rFonts w:ascii="Aptos" w:hAnsi="Aptos"/>
        </w:rPr>
        <w:t>5. portable and native profiles establish platform-appropriate integration;</w:t>
      </w:r>
    </w:p>
    <w:p>
      <w:pPr>
        <w:ind w:left="403" w:hanging="288"/>
      </w:pPr>
      <w:r>
        <w:rPr>
          <w:rFonts w:ascii="Aptos" w:hAnsi="Aptos"/>
        </w:rPr>
        <w:t>6. an independent report states exactly which evidence ran.</w:t>
      </w:r>
    </w:p>
    <w:p>
      <w:r>
        <w:rPr>
          <w:rFonts w:ascii="Aptos" w:hAnsi="Aptos"/>
        </w:rPr>
        <w:t>The consolidated [</w:t>
      </w:r>
      <w:r>
        <w:rPr>
          <w:rFonts w:ascii="Aptos Mono" w:hAnsi="Aptos Mono"/>
          <w:color w:val="153B57"/>
          <w:sz w:val="17"/>
        </w:rPr>
        <w:t>demo guide</w:t>
      </w:r>
      <w:r>
        <w:rPr>
          <w:rFonts w:ascii="Aptos" w:hAnsi="Aptos"/>
        </w:rPr>
        <w:t>](demo-guide.md) describes the runnable scenarios. The [</w:t>
      </w:r>
      <w:r>
        <w:rPr>
          <w:rFonts w:ascii="Aptos Mono" w:hAnsi="Aptos Mono"/>
          <w:color w:val="153B57"/>
          <w:sz w:val="17"/>
        </w:rPr>
        <w:t>manual test procedures</w:t>
      </w:r>
      <w:r>
        <w:rPr>
          <w:rFonts w:ascii="Aptos" w:hAnsi="Aptos"/>
        </w:rPr>
        <w:t>](manual-test-procedures.md) define macOS and Linux system acceptance without conflating Docker Desktop simulation with native kernel evidence.</w:t>
      </w:r>
    </w:p>
    <w:p>
      <w:pPr>
        <w:pStyle w:val="Heading1"/>
      </w:pPr>
      <w:r>
        <w:t>11. Architectural limits, drift, and risks</w:t>
      </w:r>
    </w:p>
    <w:p>
      <w:pPr>
        <w:pStyle w:val="Heading2"/>
      </w:pPr>
      <w:r>
        <w:t>11.1 Current limits</w:t>
      </w:r>
    </w:p>
    <w:p>
      <w:pPr>
        <w:pStyle w:val="ListBullet"/>
      </w:pPr>
      <w:r>
        <w:rPr>
          <w:rFonts w:ascii="Aptos" w:hAnsi="Aptos"/>
        </w:rPr>
        <w:t>Configuration v1 rejects cycles in the GraphX-managed data plane and native one-to-many graph edges. Descriptive external raw edges may form device data/control loops.</w:t>
      </w:r>
    </w:p>
    <w:p>
      <w:pPr>
        <w:pStyle w:val="ListBullet"/>
      </w:pPr>
      <w:r>
        <w:rPr>
          <w:rFonts w:ascii="Aptos" w:hAnsi="Aptos"/>
        </w:rPr>
        <w:t>General infrastructure tooling does not reconcile state or persist ownership metadata; the Phase 14 laboratory adds local run-scoped ownership markers without changing that general contract.</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user networking does not model TAP, physical L2, multicast/broadcast through the guest, or guest control.</w:t>
      </w:r>
    </w:p>
    <w:p>
      <w:pPr>
        <w:pStyle w:val="ListBullet"/>
      </w:pPr>
      <w:r>
        <w:rPr>
          <w:rFonts w:ascii="Aptos" w:hAnsi="Aptos"/>
        </w:rPr>
        <w:t>Docker Desktop network labs are simulations, not native-Linux acceptance evidence.</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Root documentation identifies GraphX 1.1.0 and distinguishes accepted Phase 3–13 reports from the Phase 1 and Phase 2 documentary gaps; Phase 14 awaits native verification.</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Infrastructure routes support create-time and explicit manual activation; the Phase 14 laboratory is the focused coverage. Reconciliation and arbitrary runtime route mutation remain out of scope.</w:t>
      </w:r>
    </w:p>
    <w:p>
      <w:pPr>
        <w:pStyle w:val="Heading1"/>
      </w:pPr>
      <w:r>
        <w:t>12. Proposed additional examples</w:t>
      </w:r>
    </w:p>
    <w:p>
      <w:r>
        <w:rPr>
          <w:rFonts w:ascii="Aptos" w:hAnsi="Aptos"/>
        </w:rPr>
        <w:t>The following are proposals, not current capabilities.</w:t>
      </w:r>
    </w:p>
    <w:p>
      <w:pPr>
        <w:pStyle w:val="Heading2"/>
      </w:pPr>
      <w:r>
        <w:t>12.1 Single SDR → switch → processor → sink (implemented in Phase 13)</w:t>
      </w:r>
    </w:p>
    <w:p>
      <w:r>
        <w:rPr>
          <w:rFonts w:ascii="Aptos" w:hAnsi="Aptos"/>
        </w:rPr>
        <w:t xml:space="preserve">The </w:t>
      </w:r>
      <w:r>
        <w:rPr>
          <w:rFonts w:ascii="Aptos Mono" w:hAnsi="Aptos Mono"/>
          <w:color w:val="153B57"/>
          <w:sz w:val="17"/>
        </w:rPr>
        <w:t>examples/sdr-node</w:t>
      </w:r>
      <w:r>
        <w:rPr>
          <w:rFonts w:ascii="Aptos" w:hAnsi="Aptos"/>
        </w:rPr>
        <w:t xml:space="preserve"> suite models one external Ethernet-connected SDR sending UDP IQ/sample blocks to one containerized processor, with a mutual-TLS TCP control edge back to the SDR and a result edge to a sink. Its native-Linux profile places OVS and SPAN on the data path; its portable profile clearly models Docker bridge switching as a simulation. Both reuse one deterministic endpoint and packet observer and feed Ethernet PCAPNG, bounded packet history, live telemetry, capture download, and the existing GUI.</w:t>
      </w:r>
    </w:p>
    <w:p>
      <w:r>
        <w:rPr>
          <w:rFonts w:ascii="Aptos" w:hAnsi="Aptos"/>
        </w:rPr>
        <w:t>Delivered profiles and deferred extension:</w:t>
      </w:r>
    </w:p>
    <w:p>
      <w:pPr>
        <w:ind w:left="403" w:hanging="288"/>
      </w:pPr>
      <w:r>
        <w:rPr>
          <w:rFonts w:ascii="Aptos" w:hAnsi="Aptos"/>
        </w:rPr>
        <w:t>1. simulated SDR container using raw UDP data and authenticated TCP control;</w:t>
      </w:r>
    </w:p>
    <w:p>
      <w:pPr>
        <w:ind w:left="403" w:hanging="288"/>
      </w:pPr>
      <w:r>
        <w:rPr>
          <w:rFonts w:ascii="Aptos" w:hAnsi="Aptos"/>
        </w:rPr>
        <w:t>2. external-device contract plus native Linux namespace/OVS/SPAN verifier;</w:t>
      </w:r>
    </w:p>
    <w:p>
      <w:pPr>
        <w:ind w:left="403" w:hanging="288"/>
      </w:pPr>
      <w:r>
        <w:rPr>
          <w:rFonts w:ascii="Aptos" w:hAnsi="Aptos"/>
        </w:rPr>
        <w:t>3. optional QEMU-based SDR emulator profile remains a later enhancement.</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 (implemented in Phase 14)</w:t>
      </w:r>
    </w:p>
    <w:p>
      <w:r>
        <w:rPr>
          <w:rFonts w:ascii="Aptos" w:hAnsi="Aptos"/>
        </w:rPr>
        <w:t xml:space="preserve">The </w:t>
      </w:r>
      <w:r>
        <w:rPr>
          <w:rFonts w:ascii="Aptos Mono" w:hAnsi="Aptos Mono"/>
          <w:color w:val="153B57"/>
          <w:sz w:val="17"/>
        </w:rPr>
        <w:t>examples/static-route-policy</w:t>
      </w:r>
      <w:r>
        <w:rPr>
          <w:rFonts w:ascii="Aptos" w:hAnsi="Aptos"/>
        </w:rPr>
        <w:t xml:space="preserve"> lab now supplies three routed domains, a receiver-confirmed intended flow, an nftables-counter-confirmed denied flow, and a missing-route transition controlled by one declared manual route. It exposes ordered paths, OVS mirrors, capture, and distinct GUI diagnostics. Portable coverage is automated; independent native-Linux acceptance remains the Phase 14 exit gate.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Priority: later.</w:t>
      </w:r>
      <w:r>
        <w:rPr>
          <w:rFonts w:ascii="Aptos" w:hAnsi="Aptos"/>
        </w:rPr>
        <w:t xml:space="preserve"> Add a native-Linux-only QEMU TAP/OVS profile after a dedicated security/lifecycle ADR. It would enable real guest MAC identity, VLANs, L2 multicast/broadcast, and direct SPAN capture, but requires </w:t>
      </w:r>
      <w:r>
        <w:rPr>
          <w:rFonts w:ascii="Aptos Mono" w:hAnsi="Aptos Mono"/>
          <w:color w:val="153B57"/>
          <w:sz w:val="17"/>
        </w:rPr>
        <w:t>NET_ADMIN</w:t>
      </w:r>
      <w:r>
        <w:rPr>
          <w:rFonts w:ascii="Aptos" w:hAnsi="Aptos"/>
        </w:rPr>
        <w:t>/TAP handling and stronger cleanup/ownership controls than the current slirp profile.</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Completed documentation and consistency foundation</w:t>
      </w:r>
    </w:p>
    <w:p>
      <w:pPr>
        <w:ind w:left="403" w:hanging="288"/>
      </w:pPr>
      <w:r>
        <w:rPr>
          <w:rFonts w:ascii="Aptos" w:hAnsi="Aptos"/>
        </w:rPr>
        <w:t>1. The QEMU decision is ADR 0013, with its former number recorded in the canonical ADR index.</w:t>
      </w:r>
    </w:p>
    <w:p>
      <w:pPr>
        <w:ind w:left="403" w:hanging="288"/>
      </w:pPr>
      <w:r>
        <w:rPr>
          <w:rFonts w:ascii="Aptos" w:hAnsi="Aptos"/>
        </w:rPr>
        <w:t>2. Root maturity wording matches 1.1.0 and qualifies the accepted Phase 3–13 verification record.</w:t>
      </w:r>
    </w:p>
    <w:p>
      <w:pPr>
        <w:ind w:left="403" w:hanging="288"/>
      </w:pPr>
      <w:r>
        <w:rPr>
          <w:rFonts w:ascii="Aptos" w:hAnsi="Aptos"/>
        </w:rPr>
        <w:t>3. Root and contributor documentation link the architecture source, editable DOCX, ADR index, and focused references.</w:t>
      </w:r>
    </w:p>
    <w:p>
      <w:pPr>
        <w:ind w:left="403" w:hanging="288"/>
      </w:pPr>
      <w:r>
        <w:rPr>
          <w:rFonts w:ascii="Aptos" w:hAnsi="Aptos"/>
        </w:rPr>
        <w:t xml:space="preserve">4. </w:t>
      </w:r>
      <w:r>
        <w:rPr>
          <w:rFonts w:ascii="Aptos Mono" w:hAnsi="Aptos Mono"/>
          <w:color w:val="153B57"/>
          <w:sz w:val="17"/>
        </w:rPr>
        <w:t>graphx project</w:t>
      </w:r>
      <w:r>
        <w:rPr>
          <w:rFonts w:ascii="Aptos" w:hAnsi="Aptos"/>
        </w:rPr>
        <w:t xml:space="preserve"> generates or verifies the four projections under </w:t>
      </w:r>
      <w:r>
        <w:rPr>
          <w:rFonts w:ascii="Aptos Mono" w:hAnsi="Aptos Mono"/>
          <w:color w:val="153B57"/>
          <w:sz w:val="17"/>
        </w:rPr>
        <w:t>config/</w:t>
      </w:r>
      <w:r>
        <w:rPr>
          <w:rFonts w:ascii="Aptos" w:hAnsi="Aptos"/>
        </w:rPr>
        <w:t>; CTest enforces the drift check in local and Linux/macOS CI builds.</w:t>
      </w:r>
    </w:p>
    <w:p>
      <w:pPr>
        <w:pStyle w:val="Heading2"/>
      </w:pPr>
      <w:r>
        <w:t>Near-term architectural examples</w:t>
      </w:r>
    </w:p>
    <w:p>
      <w:pPr>
        <w:ind w:left="403" w:hanging="288"/>
      </w:pPr>
      <w:r>
        <w:rPr>
          <w:rFonts w:ascii="Aptos" w:hAnsi="Aptos"/>
        </w:rPr>
        <w:t>1. Independently verify the single-SDR example on macOS and native Linux.</w:t>
      </w:r>
    </w:p>
    <w:p>
      <w:pPr>
        <w:ind w:left="403" w:hanging="288"/>
      </w:pPr>
      <w:r>
        <w:rPr>
          <w:rFonts w:ascii="Aptos" w:hAnsi="Aptos"/>
        </w:rPr>
        <w:t>2. Independently verify the implemented static-route/deny-policy laboratory on native Linux.</w:t>
      </w:r>
    </w:p>
    <w:p>
      <w:pPr>
        <w:ind w:left="403" w:hanging="288"/>
      </w:pPr>
      <w:r>
        <w:rPr>
          <w:rFonts w:ascii="Aptos" w:hAnsi="Aptos"/>
        </w:rPr>
        <w:t>3. Add an application/Ethernet dual-capture correlation prototype.</w:t>
      </w:r>
    </w:p>
    <w:p>
      <w:pPr>
        <w:ind w:left="403" w:hanging="288"/>
      </w:pPr>
      <w:r>
        <w:rPr>
          <w:rFonts w:ascii="Aptos" w:hAnsi="Aptos"/>
        </w:rPr>
        <w:t>4. Decide whether one-to-many logical edges belong in config v1 extension rules or require config v2.</w:t>
      </w:r>
    </w:p>
    <w:p>
      <w:pPr>
        <w:pStyle w:val="Heading2"/>
      </w:pPr>
      <w:r>
        <w:t>Later platform capabilities</w:t>
      </w:r>
    </w:p>
    <w:p>
      <w:pPr>
        <w:ind w:left="403" w:hanging="288"/>
      </w:pPr>
      <w:r>
        <w:rPr>
          <w:rFonts w:ascii="Aptos" w:hAnsi="Aptos"/>
        </w:rPr>
        <w:t>1. Define reconcile/rollback/ownership semantics for infrastructure before expanding beyond laboratories.</w:t>
      </w:r>
    </w:p>
    <w:p>
      <w:pPr>
        <w:ind w:left="403" w:hanging="288"/>
      </w:pPr>
      <w:r>
        <w:rPr>
          <w:rFonts w:ascii="Aptos" w:hAnsi="Aptos"/>
        </w:rPr>
        <w:t>2. Decide capture rotation, indexing, retention, and cross-capture correlation contracts.</w:t>
      </w:r>
    </w:p>
    <w:p>
      <w:pPr>
        <w:ind w:left="403" w:hanging="288"/>
      </w:pPr>
      <w:r>
        <w:rPr>
          <w:rFonts w:ascii="Aptos" w:hAnsi="Aptos"/>
        </w:rPr>
        <w:t>3. Define a QEMU TAP/OVS security model and physical-node attachment boundary.</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docs/adr/0015-*.md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Route/policy laboratory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examples/static-route-policy</w:t>
            </w:r>
            <w:r>
              <w:rPr>
                <w:rFonts w:ascii="Aptos" w:hAnsi="Aptos"/>
                <w:b w:val="0"/>
                <w:color w:val="111820"/>
                <w:sz w:val="17"/>
              </w:rPr>
              <w:t xml:space="preserve">, </w:t>
            </w:r>
            <w:r>
              <w:rPr>
                <w:rFonts w:ascii="Aptos" w:hAnsi="Aptos"/>
                <w:b w:val="0"/>
                <w:color w:val="111820"/>
                <w:sz w:val="17"/>
              </w:rPr>
              <w:t>docs/adr/0015-explicit-manual-route-activation.md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verification_status.md</w:t>
            </w:r>
            <w:r>
              <w:rPr>
                <w:rFonts w:ascii="Aptos" w:hAnsi="Aptos"/>
                <w:b w:val="0"/>
                <w:color w:val="111820"/>
                <w:sz w:val="17"/>
              </w:rPr>
              <w:t xml:space="preserve">, </w:t>
            </w:r>
            <w:r>
              <w:rPr>
                <w:rFonts w:ascii="Aptos" w:hAnsi="Aptos"/>
                <w:b w:val="0"/>
                <w:color w:val="111820"/>
                <w:sz w:val="17"/>
              </w:rPr>
              <w:t>phase_3_verification.md</w:t>
            </w:r>
            <w:r>
              <w:rPr>
                <w:rFonts w:ascii="Aptos" w:hAnsi="Aptos"/>
                <w:b w:val="0"/>
                <w:color w:val="111820"/>
                <w:sz w:val="17"/>
              </w:rPr>
              <w:t xml:space="preserve"> through </w:t>
            </w:r>
            <w:r>
              <w:rPr>
                <w:rFonts w:ascii="Aptos" w:hAnsi="Aptos"/>
                <w:b w:val="0"/>
                <w:color w:val="111820"/>
                <w:sz w:val="17"/>
              </w:rPr>
              <w:t>phase_13_verification.md</w:t>
            </w:r>
            <w:r>
              <w:rPr>
                <w:rFonts w:ascii="Aptos" w:hAnsi="Aptos"/>
                <w:b w:val="0"/>
                <w:color w:val="111820"/>
                <w:sz w:val="17"/>
              </w:rPr>
              <w:t xml:space="preserve">; Phase 14 verifier contract in </w:t>
            </w:r>
            <w:r>
              <w:rPr>
                <w:rFonts w:ascii="Aptos" w:hAnsi="Aptos"/>
                <w:b w:val="0"/>
                <w:color w:val="111820"/>
                <w:sz w:val="17"/>
              </w:rPr>
              <w:t>prompt/verifier.md</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563A6"/>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687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1.1.0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