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9551" w14:textId="7362488C" w:rsidR="00343791" w:rsidRPr="00A94B13" w:rsidRDefault="00A94B13" w:rsidP="00A94B13">
      <w:pPr>
        <w:jc w:val="center"/>
        <w:rPr>
          <w:b/>
          <w:bCs/>
        </w:rPr>
      </w:pPr>
      <w:r w:rsidRPr="00A94B13">
        <w:rPr>
          <w:b/>
          <w:bCs/>
        </w:rPr>
        <w:t>Quantum Mechanics Lab 1</w:t>
      </w:r>
    </w:p>
    <w:p w14:paraId="1C860671" w14:textId="24E268F0" w:rsidR="00A94B13" w:rsidRDefault="00A94B13" w:rsidP="00827B88">
      <w:pPr>
        <w:pStyle w:val="ListParagraph"/>
        <w:numPr>
          <w:ilvl w:val="0"/>
          <w:numId w:val="1"/>
        </w:numPr>
        <w:spacing w:after="0"/>
        <w:ind w:left="270" w:hanging="270"/>
      </w:pPr>
      <w:r w:rsidRPr="00A94B13">
        <w:t>All tests passed in Matlab grader for problem 1.</w:t>
      </w:r>
    </w:p>
    <w:p w14:paraId="1CE08BB1" w14:textId="77777777" w:rsidR="00827B88" w:rsidRDefault="00827B88" w:rsidP="00827B88">
      <w:pPr>
        <w:spacing w:after="0"/>
      </w:pPr>
    </w:p>
    <w:p w14:paraId="029E5ACC" w14:textId="6BDFC887" w:rsidR="00A94B13" w:rsidRDefault="00A94B13" w:rsidP="00827B88">
      <w:pPr>
        <w:pStyle w:val="ListParagraph"/>
        <w:numPr>
          <w:ilvl w:val="0"/>
          <w:numId w:val="1"/>
        </w:numPr>
        <w:spacing w:after="0"/>
        <w:ind w:left="270" w:hanging="270"/>
      </w:pPr>
      <w:r w:rsidRPr="00A94B13">
        <w:t xml:space="preserve">All tests passed in Matlab grader for problem </w:t>
      </w:r>
      <w:r>
        <w:t>2</w:t>
      </w:r>
      <w:r w:rsidRPr="00A94B13">
        <w:t>.</w:t>
      </w:r>
    </w:p>
    <w:p w14:paraId="031CCF3E" w14:textId="77777777" w:rsidR="00827B88" w:rsidRDefault="00827B88" w:rsidP="00827B88">
      <w:pPr>
        <w:spacing w:after="0"/>
      </w:pPr>
    </w:p>
    <w:p w14:paraId="100DF172" w14:textId="4F01358A" w:rsidR="00A94B13" w:rsidRDefault="00A94B13" w:rsidP="00827B88">
      <w:pPr>
        <w:pStyle w:val="ListParagraph"/>
        <w:numPr>
          <w:ilvl w:val="0"/>
          <w:numId w:val="1"/>
        </w:numPr>
        <w:spacing w:after="0"/>
        <w:ind w:left="270" w:hanging="270"/>
      </w:pPr>
      <w:r w:rsidRPr="00A94B13">
        <w:t xml:space="preserve">All tests passed in Matlab grader for problem </w:t>
      </w:r>
      <w:r>
        <w:t>3</w:t>
      </w:r>
      <w:r w:rsidRPr="00A94B13">
        <w:t>.</w:t>
      </w:r>
    </w:p>
    <w:p w14:paraId="7C6FD1E3" w14:textId="77777777" w:rsidR="00827B88" w:rsidRDefault="00827B88" w:rsidP="00827B88">
      <w:pPr>
        <w:spacing w:after="0"/>
      </w:pPr>
    </w:p>
    <w:p w14:paraId="01F451C6" w14:textId="38AE022F" w:rsidR="00A94B13" w:rsidRDefault="00A94B13" w:rsidP="00827B88">
      <w:pPr>
        <w:pStyle w:val="ListParagraph"/>
        <w:numPr>
          <w:ilvl w:val="0"/>
          <w:numId w:val="1"/>
        </w:numPr>
        <w:spacing w:after="0"/>
        <w:ind w:left="270" w:hanging="270"/>
      </w:pPr>
      <w:r w:rsidRPr="00A94B13">
        <w:t xml:space="preserve">All tests passed in Matlab grader for problem </w:t>
      </w:r>
      <w:r>
        <w:t>4</w:t>
      </w:r>
      <w:r w:rsidRPr="00A94B13">
        <w:t>.</w:t>
      </w:r>
    </w:p>
    <w:p w14:paraId="06968F7B" w14:textId="77777777" w:rsidR="00827B88" w:rsidRDefault="00827B88" w:rsidP="00827B88">
      <w:pPr>
        <w:spacing w:after="0"/>
      </w:pPr>
    </w:p>
    <w:p w14:paraId="1210B7FA" w14:textId="6F1490A7" w:rsidR="00A94B13" w:rsidRDefault="007B3B2E" w:rsidP="00827B88">
      <w:pPr>
        <w:pStyle w:val="ListParagraph"/>
        <w:numPr>
          <w:ilvl w:val="0"/>
          <w:numId w:val="1"/>
        </w:numPr>
        <w:spacing w:after="120"/>
        <w:ind w:left="270" w:hanging="270"/>
      </w:pPr>
      <w:r>
        <w:t>Below are the plots for the first 3 wave functions for both even and odd solutions.</w:t>
      </w:r>
      <w:r w:rsidR="00215A6B">
        <w:t xml:space="preserve"> The next solution is the previous solution plus another wavelength. </w:t>
      </w:r>
    </w:p>
    <w:p w14:paraId="02FE4B7C" w14:textId="77777777" w:rsidR="00827B88" w:rsidRDefault="00827B88" w:rsidP="00827B88">
      <w:pPr>
        <w:spacing w:after="120"/>
      </w:pPr>
    </w:p>
    <w:p w14:paraId="3E17CB06" w14:textId="2E88ED27" w:rsidR="00A94B13" w:rsidRDefault="007B3B2E" w:rsidP="00A94B13">
      <w:r>
        <w:rPr>
          <w:noProof/>
        </w:rPr>
        <w:drawing>
          <wp:inline distT="0" distB="0" distL="0" distR="0" wp14:anchorId="3C9A8421" wp14:editId="38B28FCD">
            <wp:extent cx="2743200" cy="219866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198663"/>
                    </a:xfrm>
                    <a:prstGeom prst="rect">
                      <a:avLst/>
                    </a:prstGeom>
                  </pic:spPr>
                </pic:pic>
              </a:graphicData>
            </a:graphic>
          </wp:inline>
        </w:drawing>
      </w:r>
      <w:r>
        <w:rPr>
          <w:noProof/>
        </w:rPr>
        <w:drawing>
          <wp:inline distT="0" distB="0" distL="0" distR="0" wp14:anchorId="6EAB2636" wp14:editId="6428D9FB">
            <wp:extent cx="2882959" cy="219456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2959" cy="2194560"/>
                    </a:xfrm>
                    <a:prstGeom prst="rect">
                      <a:avLst/>
                    </a:prstGeom>
                  </pic:spPr>
                </pic:pic>
              </a:graphicData>
            </a:graphic>
          </wp:inline>
        </w:drawing>
      </w:r>
    </w:p>
    <w:p w14:paraId="55FEB055" w14:textId="77777777" w:rsidR="00827B88" w:rsidRDefault="00827B88" w:rsidP="00827B88">
      <w:pPr>
        <w:spacing w:after="0"/>
      </w:pPr>
    </w:p>
    <w:p w14:paraId="4E0D3013" w14:textId="26BF8B71" w:rsidR="007B3B2E" w:rsidRDefault="007B3B2E" w:rsidP="00827B88">
      <w:pPr>
        <w:pStyle w:val="ListParagraph"/>
        <w:numPr>
          <w:ilvl w:val="0"/>
          <w:numId w:val="1"/>
        </w:numPr>
        <w:ind w:left="270" w:hanging="270"/>
      </w:pPr>
      <w:r>
        <w:t>Below are the plots for the first 3 probability densities for both even and odd solutions.</w:t>
      </w:r>
      <w:r w:rsidR="00215A6B">
        <w:t xml:space="preserve"> When compared to the wave functions above the particles are most likely to be found in the peaks and valleys.</w:t>
      </w:r>
    </w:p>
    <w:p w14:paraId="1D552A5F" w14:textId="77777777" w:rsidR="00827B88" w:rsidRDefault="00827B88" w:rsidP="00827B88"/>
    <w:p w14:paraId="44625F09" w14:textId="0376A428" w:rsidR="007B3B2E" w:rsidRDefault="00E34529" w:rsidP="00E34529">
      <w:r>
        <w:rPr>
          <w:noProof/>
        </w:rPr>
        <w:drawing>
          <wp:inline distT="0" distB="0" distL="0" distR="0" wp14:anchorId="78C6BE71" wp14:editId="7945E796">
            <wp:extent cx="2743200" cy="219338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193388"/>
                    </a:xfrm>
                    <a:prstGeom prst="rect">
                      <a:avLst/>
                    </a:prstGeom>
                  </pic:spPr>
                </pic:pic>
              </a:graphicData>
            </a:graphic>
          </wp:inline>
        </w:drawing>
      </w:r>
      <w:r>
        <w:rPr>
          <w:noProof/>
        </w:rPr>
        <w:drawing>
          <wp:inline distT="0" distB="0" distL="0" distR="0" wp14:anchorId="134CCB4C" wp14:editId="4F3B12B6">
            <wp:extent cx="2870068" cy="2194560"/>
            <wp:effectExtent l="0" t="0" r="6985" b="0"/>
            <wp:docPr id="6" name="Picture 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068" cy="2194560"/>
                    </a:xfrm>
                    <a:prstGeom prst="rect">
                      <a:avLst/>
                    </a:prstGeom>
                  </pic:spPr>
                </pic:pic>
              </a:graphicData>
            </a:graphic>
          </wp:inline>
        </w:drawing>
      </w:r>
    </w:p>
    <w:p w14:paraId="1F655032" w14:textId="313BD65E" w:rsidR="00827B88" w:rsidRDefault="00475CA1" w:rsidP="00827B88">
      <w:pPr>
        <w:pStyle w:val="ListParagraph"/>
        <w:numPr>
          <w:ilvl w:val="0"/>
          <w:numId w:val="1"/>
        </w:numPr>
        <w:spacing w:after="0"/>
        <w:ind w:left="270" w:hanging="270"/>
      </w:pPr>
      <w:r>
        <w:lastRenderedPageBreak/>
        <w:t xml:space="preserve">The unconverged wave functions are not allowed because they exhibit </w:t>
      </w:r>
      <w:r w:rsidR="00215A6B">
        <w:t>wave function</w:t>
      </w:r>
      <w:r>
        <w:t xml:space="preserve"> values greater than zero outside the bounds of the box. </w:t>
      </w:r>
      <w:r w:rsidR="00215A6B">
        <w:t>This</w:t>
      </w:r>
      <w:r>
        <w:t xml:space="preserve"> would mean that there could be a particle outside the box </w:t>
      </w:r>
      <w:proofErr w:type="gramStart"/>
      <w:r>
        <w:t>in the area of</w:t>
      </w:r>
      <w:proofErr w:type="gramEnd"/>
      <w:r>
        <w:t xml:space="preserve"> high potential</w:t>
      </w:r>
      <w:r w:rsidR="00215A6B">
        <w:t xml:space="preserve">, but this </w:t>
      </w:r>
      <w:r>
        <w:t>is not possible.</w:t>
      </w:r>
    </w:p>
    <w:p w14:paraId="5F9BABF6" w14:textId="77777777" w:rsidR="00827B88" w:rsidRDefault="00827B88" w:rsidP="00827B88">
      <w:pPr>
        <w:spacing w:after="0"/>
      </w:pPr>
    </w:p>
    <w:p w14:paraId="2D9443E6" w14:textId="79845C13" w:rsidR="004976C8" w:rsidRDefault="0035125E" w:rsidP="00827B88">
      <w:pPr>
        <w:pStyle w:val="ListParagraph"/>
        <w:numPr>
          <w:ilvl w:val="0"/>
          <w:numId w:val="1"/>
        </w:numPr>
        <w:ind w:left="270" w:hanging="270"/>
      </w:pPr>
      <w:r>
        <w:t>Below are the plots of the energy values for the first two even and odd solutions.</w:t>
      </w:r>
      <w:r w:rsidR="002E3ACD">
        <w:t xml:space="preserve"> As the well depth is decreased then there is not as much of a barrier keeping the particle inside the box.</w:t>
      </w:r>
      <w:r>
        <w:t xml:space="preserve"> As the well depth increases the energy value approaches a specific value. </w:t>
      </w:r>
      <w:r w:rsidR="00484A02">
        <w:t>The table below also shows the difference between the energy values from the Matlab plots (all with well depth 1e5) and those calculated with the equation from the readme file. It seems that as the well depth increases to infinity then the Matlab solutions would approach the calculated solutions.</w:t>
      </w:r>
    </w:p>
    <w:p w14:paraId="65CD4840" w14:textId="77777777" w:rsidR="00827B88" w:rsidRDefault="00827B88" w:rsidP="00827B88"/>
    <w:p w14:paraId="57F7922C" w14:textId="381FEB2B" w:rsidR="004976C8" w:rsidRDefault="004976C8" w:rsidP="004976C8">
      <w:r>
        <w:rPr>
          <w:noProof/>
        </w:rPr>
        <w:drawing>
          <wp:inline distT="0" distB="0" distL="0" distR="0" wp14:anchorId="39806D79" wp14:editId="6D5002AD">
            <wp:extent cx="2888820" cy="2011680"/>
            <wp:effectExtent l="0" t="0" r="6985" b="762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8820" cy="2011680"/>
                    </a:xfrm>
                    <a:prstGeom prst="rect">
                      <a:avLst/>
                    </a:prstGeom>
                  </pic:spPr>
                </pic:pic>
              </a:graphicData>
            </a:graphic>
          </wp:inline>
        </w:drawing>
      </w:r>
      <w:r>
        <w:rPr>
          <w:noProof/>
        </w:rPr>
        <w:drawing>
          <wp:inline distT="0" distB="0" distL="0" distR="0" wp14:anchorId="5B9533CD" wp14:editId="6ECEBD4D">
            <wp:extent cx="2743200" cy="205857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8572"/>
                    </a:xfrm>
                    <a:prstGeom prst="rect">
                      <a:avLst/>
                    </a:prstGeom>
                  </pic:spPr>
                </pic:pic>
              </a:graphicData>
            </a:graphic>
          </wp:inline>
        </w:drawing>
      </w:r>
    </w:p>
    <w:p w14:paraId="3B8D9CC0" w14:textId="77777777" w:rsidR="00827B88" w:rsidRDefault="00827B88" w:rsidP="004976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225"/>
        <w:gridCol w:w="1475"/>
        <w:gridCol w:w="1260"/>
        <w:gridCol w:w="1620"/>
      </w:tblGrid>
      <w:tr w:rsidR="00FD68C6" w14:paraId="0D57FCFC" w14:textId="77777777" w:rsidTr="00FD68C6">
        <w:trPr>
          <w:jc w:val="center"/>
        </w:trPr>
        <w:tc>
          <w:tcPr>
            <w:tcW w:w="1260" w:type="dxa"/>
            <w:tcBorders>
              <w:bottom w:val="single" w:sz="4" w:space="0" w:color="auto"/>
              <w:right w:val="single" w:sz="4" w:space="0" w:color="auto"/>
            </w:tcBorders>
          </w:tcPr>
          <w:p w14:paraId="11FC8572" w14:textId="77777777" w:rsidR="006210E6" w:rsidRDefault="006210E6" w:rsidP="006210E6">
            <w:pPr>
              <w:jc w:val="center"/>
            </w:pPr>
          </w:p>
        </w:tc>
        <w:tc>
          <w:tcPr>
            <w:tcW w:w="2700" w:type="dxa"/>
            <w:gridSpan w:val="2"/>
            <w:tcBorders>
              <w:top w:val="single" w:sz="4" w:space="0" w:color="auto"/>
              <w:left w:val="single" w:sz="4" w:space="0" w:color="auto"/>
              <w:right w:val="single" w:sz="4" w:space="0" w:color="auto"/>
            </w:tcBorders>
          </w:tcPr>
          <w:p w14:paraId="28E1149B" w14:textId="6D45FB6F" w:rsidR="006210E6" w:rsidRDefault="006210E6" w:rsidP="006210E6">
            <w:pPr>
              <w:jc w:val="center"/>
            </w:pPr>
            <w:r>
              <w:t>Even</w:t>
            </w:r>
          </w:p>
        </w:tc>
        <w:tc>
          <w:tcPr>
            <w:tcW w:w="2880" w:type="dxa"/>
            <w:gridSpan w:val="2"/>
            <w:tcBorders>
              <w:top w:val="single" w:sz="4" w:space="0" w:color="auto"/>
              <w:left w:val="single" w:sz="4" w:space="0" w:color="auto"/>
              <w:right w:val="single" w:sz="4" w:space="0" w:color="auto"/>
            </w:tcBorders>
          </w:tcPr>
          <w:p w14:paraId="00245831" w14:textId="3D451252" w:rsidR="006210E6" w:rsidRDefault="006210E6" w:rsidP="00FD68C6">
            <w:pPr>
              <w:jc w:val="center"/>
            </w:pPr>
            <w:r>
              <w:t>Odd</w:t>
            </w:r>
          </w:p>
        </w:tc>
      </w:tr>
      <w:tr w:rsidR="00FD68C6" w14:paraId="59CA840D" w14:textId="77777777" w:rsidTr="00FD68C6">
        <w:trPr>
          <w:jc w:val="center"/>
        </w:trPr>
        <w:tc>
          <w:tcPr>
            <w:tcW w:w="1260" w:type="dxa"/>
            <w:tcBorders>
              <w:top w:val="single" w:sz="4" w:space="0" w:color="auto"/>
              <w:left w:val="single" w:sz="4" w:space="0" w:color="auto"/>
              <w:bottom w:val="single" w:sz="4" w:space="0" w:color="auto"/>
              <w:right w:val="single" w:sz="4" w:space="0" w:color="auto"/>
            </w:tcBorders>
          </w:tcPr>
          <w:p w14:paraId="03911755" w14:textId="7FA0214E" w:rsidR="006210E6" w:rsidRPr="00FD68C6" w:rsidRDefault="006210E6" w:rsidP="006210E6">
            <w:pPr>
              <w:jc w:val="center"/>
              <w:rPr>
                <w:b/>
                <w:bCs/>
              </w:rPr>
            </w:pPr>
            <w:r w:rsidRPr="00FD68C6">
              <w:rPr>
                <w:b/>
                <w:bCs/>
              </w:rPr>
              <w:t>Solution</w:t>
            </w:r>
          </w:p>
        </w:tc>
        <w:tc>
          <w:tcPr>
            <w:tcW w:w="1225" w:type="dxa"/>
            <w:tcBorders>
              <w:top w:val="single" w:sz="4" w:space="0" w:color="auto"/>
              <w:left w:val="single" w:sz="4" w:space="0" w:color="auto"/>
              <w:bottom w:val="single" w:sz="4" w:space="0" w:color="auto"/>
            </w:tcBorders>
          </w:tcPr>
          <w:p w14:paraId="7038DA30" w14:textId="6943F1DF" w:rsidR="006210E6" w:rsidRPr="00FD68C6" w:rsidRDefault="006210E6" w:rsidP="006210E6">
            <w:pPr>
              <w:jc w:val="center"/>
              <w:rPr>
                <w:b/>
                <w:bCs/>
              </w:rPr>
            </w:pPr>
            <w:r w:rsidRPr="00FD68C6">
              <w:rPr>
                <w:b/>
                <w:bCs/>
              </w:rPr>
              <w:t>E (Matlab)</w:t>
            </w:r>
          </w:p>
        </w:tc>
        <w:tc>
          <w:tcPr>
            <w:tcW w:w="1475" w:type="dxa"/>
            <w:tcBorders>
              <w:top w:val="single" w:sz="4" w:space="0" w:color="auto"/>
              <w:bottom w:val="single" w:sz="4" w:space="0" w:color="auto"/>
              <w:right w:val="single" w:sz="4" w:space="0" w:color="auto"/>
            </w:tcBorders>
          </w:tcPr>
          <w:p w14:paraId="50175A20" w14:textId="5496F6F3" w:rsidR="006210E6" w:rsidRPr="00FD68C6" w:rsidRDefault="006210E6" w:rsidP="006210E6">
            <w:pPr>
              <w:jc w:val="center"/>
              <w:rPr>
                <w:b/>
                <w:bCs/>
              </w:rPr>
            </w:pPr>
            <w:r w:rsidRPr="00FD68C6">
              <w:rPr>
                <w:b/>
                <w:bCs/>
              </w:rPr>
              <w:t>E (calculated)</w:t>
            </w:r>
          </w:p>
        </w:tc>
        <w:tc>
          <w:tcPr>
            <w:tcW w:w="1260" w:type="dxa"/>
            <w:tcBorders>
              <w:top w:val="single" w:sz="4" w:space="0" w:color="auto"/>
              <w:left w:val="single" w:sz="4" w:space="0" w:color="auto"/>
              <w:bottom w:val="single" w:sz="4" w:space="0" w:color="auto"/>
            </w:tcBorders>
          </w:tcPr>
          <w:p w14:paraId="2AE94CAD" w14:textId="17D41078" w:rsidR="006210E6" w:rsidRPr="00FD68C6" w:rsidRDefault="006210E6" w:rsidP="006210E6">
            <w:pPr>
              <w:jc w:val="center"/>
              <w:rPr>
                <w:b/>
                <w:bCs/>
              </w:rPr>
            </w:pPr>
            <w:r w:rsidRPr="00FD68C6">
              <w:rPr>
                <w:b/>
                <w:bCs/>
              </w:rPr>
              <w:t>E (Matlab)</w:t>
            </w:r>
          </w:p>
        </w:tc>
        <w:tc>
          <w:tcPr>
            <w:tcW w:w="1620" w:type="dxa"/>
            <w:tcBorders>
              <w:top w:val="single" w:sz="4" w:space="0" w:color="auto"/>
              <w:bottom w:val="single" w:sz="4" w:space="0" w:color="auto"/>
              <w:right w:val="single" w:sz="4" w:space="0" w:color="auto"/>
            </w:tcBorders>
          </w:tcPr>
          <w:p w14:paraId="532F5486" w14:textId="65638C4A" w:rsidR="006210E6" w:rsidRPr="00FD68C6" w:rsidRDefault="006210E6" w:rsidP="006210E6">
            <w:pPr>
              <w:jc w:val="center"/>
              <w:rPr>
                <w:b/>
                <w:bCs/>
              </w:rPr>
            </w:pPr>
            <w:r w:rsidRPr="00FD68C6">
              <w:rPr>
                <w:b/>
                <w:bCs/>
              </w:rPr>
              <w:t>E (calculated)</w:t>
            </w:r>
          </w:p>
        </w:tc>
      </w:tr>
      <w:tr w:rsidR="00FD68C6" w14:paraId="69B4EB60" w14:textId="77777777" w:rsidTr="00FD68C6">
        <w:trPr>
          <w:jc w:val="center"/>
        </w:trPr>
        <w:tc>
          <w:tcPr>
            <w:tcW w:w="1260" w:type="dxa"/>
            <w:tcBorders>
              <w:top w:val="single" w:sz="4" w:space="0" w:color="auto"/>
              <w:left w:val="single" w:sz="4" w:space="0" w:color="auto"/>
              <w:right w:val="single" w:sz="4" w:space="0" w:color="auto"/>
            </w:tcBorders>
          </w:tcPr>
          <w:p w14:paraId="4938CBBA" w14:textId="78C42791" w:rsidR="006210E6" w:rsidRDefault="006210E6" w:rsidP="006210E6">
            <w:pPr>
              <w:jc w:val="center"/>
            </w:pPr>
            <w:r>
              <w:t>N = 1</w:t>
            </w:r>
          </w:p>
        </w:tc>
        <w:tc>
          <w:tcPr>
            <w:tcW w:w="1225" w:type="dxa"/>
            <w:tcBorders>
              <w:top w:val="single" w:sz="4" w:space="0" w:color="auto"/>
              <w:left w:val="single" w:sz="4" w:space="0" w:color="auto"/>
            </w:tcBorders>
          </w:tcPr>
          <w:p w14:paraId="22EC72B8" w14:textId="55E857E3" w:rsidR="006210E6" w:rsidRDefault="006210E6" w:rsidP="006210E6">
            <w:pPr>
              <w:jc w:val="center"/>
            </w:pPr>
            <w:r w:rsidRPr="006210E6">
              <w:t>1.2449</w:t>
            </w:r>
          </w:p>
        </w:tc>
        <w:tc>
          <w:tcPr>
            <w:tcW w:w="1475" w:type="dxa"/>
            <w:tcBorders>
              <w:top w:val="single" w:sz="4" w:space="0" w:color="auto"/>
              <w:right w:val="single" w:sz="4" w:space="0" w:color="auto"/>
            </w:tcBorders>
          </w:tcPr>
          <w:p w14:paraId="63F9AFA5" w14:textId="4ADE38FE" w:rsidR="006210E6" w:rsidRDefault="006210E6" w:rsidP="006210E6">
            <w:pPr>
              <w:jc w:val="center"/>
            </w:pPr>
            <w:r w:rsidRPr="006210E6">
              <w:t>1.2337</w:t>
            </w:r>
          </w:p>
        </w:tc>
        <w:tc>
          <w:tcPr>
            <w:tcW w:w="1260" w:type="dxa"/>
            <w:tcBorders>
              <w:top w:val="single" w:sz="4" w:space="0" w:color="auto"/>
              <w:left w:val="single" w:sz="4" w:space="0" w:color="auto"/>
            </w:tcBorders>
          </w:tcPr>
          <w:p w14:paraId="7CD42C9F" w14:textId="5DB68299" w:rsidR="006210E6" w:rsidRDefault="00F51076" w:rsidP="006210E6">
            <w:pPr>
              <w:jc w:val="center"/>
            </w:pPr>
            <w:r w:rsidRPr="00F51076">
              <w:t>4.9296</w:t>
            </w:r>
          </w:p>
        </w:tc>
        <w:tc>
          <w:tcPr>
            <w:tcW w:w="1620" w:type="dxa"/>
            <w:tcBorders>
              <w:top w:val="single" w:sz="4" w:space="0" w:color="auto"/>
              <w:right w:val="single" w:sz="4" w:space="0" w:color="auto"/>
            </w:tcBorders>
          </w:tcPr>
          <w:p w14:paraId="72C0CE3D" w14:textId="4B9F1E70" w:rsidR="006210E6" w:rsidRDefault="00F51076" w:rsidP="006210E6">
            <w:pPr>
              <w:jc w:val="center"/>
            </w:pPr>
            <w:r w:rsidRPr="00F51076">
              <w:t>4.9348</w:t>
            </w:r>
          </w:p>
        </w:tc>
      </w:tr>
      <w:tr w:rsidR="00FD68C6" w14:paraId="586C2F57" w14:textId="77777777" w:rsidTr="00FD68C6">
        <w:trPr>
          <w:jc w:val="center"/>
        </w:trPr>
        <w:tc>
          <w:tcPr>
            <w:tcW w:w="1260" w:type="dxa"/>
            <w:tcBorders>
              <w:left w:val="single" w:sz="4" w:space="0" w:color="auto"/>
              <w:right w:val="single" w:sz="4" w:space="0" w:color="auto"/>
            </w:tcBorders>
          </w:tcPr>
          <w:p w14:paraId="5CB6AD65" w14:textId="10F71F21" w:rsidR="006210E6" w:rsidRDefault="006210E6" w:rsidP="006210E6">
            <w:pPr>
              <w:jc w:val="center"/>
            </w:pPr>
            <w:r>
              <w:t>N = 2</w:t>
            </w:r>
          </w:p>
        </w:tc>
        <w:tc>
          <w:tcPr>
            <w:tcW w:w="1225" w:type="dxa"/>
            <w:tcBorders>
              <w:left w:val="single" w:sz="4" w:space="0" w:color="auto"/>
            </w:tcBorders>
          </w:tcPr>
          <w:p w14:paraId="6726EEA1" w14:textId="4E2DA154" w:rsidR="006210E6" w:rsidRDefault="006210E6" w:rsidP="006210E6">
            <w:pPr>
              <w:jc w:val="center"/>
            </w:pPr>
            <w:r w:rsidRPr="006210E6">
              <w:t>11.2023</w:t>
            </w:r>
          </w:p>
        </w:tc>
        <w:tc>
          <w:tcPr>
            <w:tcW w:w="1475" w:type="dxa"/>
            <w:tcBorders>
              <w:right w:val="single" w:sz="4" w:space="0" w:color="auto"/>
            </w:tcBorders>
          </w:tcPr>
          <w:p w14:paraId="5B9D88C1" w14:textId="3269DF26" w:rsidR="006210E6" w:rsidRDefault="006210E6" w:rsidP="006210E6">
            <w:pPr>
              <w:jc w:val="center"/>
            </w:pPr>
            <w:r w:rsidRPr="006210E6">
              <w:t>11.1033</w:t>
            </w:r>
          </w:p>
        </w:tc>
        <w:tc>
          <w:tcPr>
            <w:tcW w:w="1260" w:type="dxa"/>
            <w:tcBorders>
              <w:left w:val="single" w:sz="4" w:space="0" w:color="auto"/>
            </w:tcBorders>
          </w:tcPr>
          <w:p w14:paraId="45942E07" w14:textId="3B5BAC42" w:rsidR="006210E6" w:rsidRDefault="00F51076" w:rsidP="006210E6">
            <w:pPr>
              <w:jc w:val="center"/>
            </w:pPr>
            <w:r w:rsidRPr="00F51076">
              <w:t>19.7139</w:t>
            </w:r>
          </w:p>
        </w:tc>
        <w:tc>
          <w:tcPr>
            <w:tcW w:w="1620" w:type="dxa"/>
            <w:tcBorders>
              <w:right w:val="single" w:sz="4" w:space="0" w:color="auto"/>
            </w:tcBorders>
          </w:tcPr>
          <w:p w14:paraId="60B69B2E" w14:textId="290ADC2E" w:rsidR="006210E6" w:rsidRDefault="00F51076" w:rsidP="006210E6">
            <w:pPr>
              <w:jc w:val="center"/>
            </w:pPr>
            <w:r w:rsidRPr="00F51076">
              <w:t>19.7392</w:t>
            </w:r>
          </w:p>
        </w:tc>
      </w:tr>
      <w:tr w:rsidR="00FD68C6" w14:paraId="553270AD" w14:textId="77777777" w:rsidTr="00FD68C6">
        <w:trPr>
          <w:jc w:val="center"/>
        </w:trPr>
        <w:tc>
          <w:tcPr>
            <w:tcW w:w="1260" w:type="dxa"/>
            <w:tcBorders>
              <w:left w:val="single" w:sz="4" w:space="0" w:color="auto"/>
              <w:bottom w:val="single" w:sz="4" w:space="0" w:color="auto"/>
              <w:right w:val="single" w:sz="4" w:space="0" w:color="auto"/>
            </w:tcBorders>
          </w:tcPr>
          <w:p w14:paraId="49611191" w14:textId="152C6339" w:rsidR="006210E6" w:rsidRDefault="006210E6" w:rsidP="006210E6">
            <w:pPr>
              <w:jc w:val="center"/>
            </w:pPr>
            <w:r>
              <w:t>N = 3</w:t>
            </w:r>
          </w:p>
        </w:tc>
        <w:tc>
          <w:tcPr>
            <w:tcW w:w="1225" w:type="dxa"/>
            <w:tcBorders>
              <w:left w:val="single" w:sz="4" w:space="0" w:color="auto"/>
              <w:bottom w:val="single" w:sz="4" w:space="0" w:color="auto"/>
            </w:tcBorders>
          </w:tcPr>
          <w:p w14:paraId="2BEBD646" w14:textId="65418F3D" w:rsidR="006210E6" w:rsidRDefault="006210E6" w:rsidP="006210E6">
            <w:pPr>
              <w:jc w:val="center"/>
            </w:pPr>
            <w:r w:rsidRPr="006210E6">
              <w:t>31.1072</w:t>
            </w:r>
          </w:p>
        </w:tc>
        <w:tc>
          <w:tcPr>
            <w:tcW w:w="1475" w:type="dxa"/>
            <w:tcBorders>
              <w:bottom w:val="single" w:sz="4" w:space="0" w:color="auto"/>
              <w:right w:val="single" w:sz="4" w:space="0" w:color="auto"/>
            </w:tcBorders>
          </w:tcPr>
          <w:p w14:paraId="1187F2CE" w14:textId="6963A476" w:rsidR="006210E6" w:rsidRDefault="006210E6" w:rsidP="006210E6">
            <w:pPr>
              <w:jc w:val="center"/>
            </w:pPr>
            <w:r w:rsidRPr="006210E6">
              <w:t>30.8425</w:t>
            </w:r>
          </w:p>
        </w:tc>
        <w:tc>
          <w:tcPr>
            <w:tcW w:w="1260" w:type="dxa"/>
            <w:tcBorders>
              <w:left w:val="single" w:sz="4" w:space="0" w:color="auto"/>
              <w:bottom w:val="single" w:sz="4" w:space="0" w:color="auto"/>
            </w:tcBorders>
          </w:tcPr>
          <w:p w14:paraId="277A853B" w14:textId="50828C52" w:rsidR="006210E6" w:rsidRDefault="00F51076" w:rsidP="006210E6">
            <w:pPr>
              <w:jc w:val="center"/>
            </w:pPr>
            <w:r w:rsidRPr="00F51076">
              <w:t>44.338</w:t>
            </w:r>
            <w:r>
              <w:t>1</w:t>
            </w:r>
          </w:p>
        </w:tc>
        <w:tc>
          <w:tcPr>
            <w:tcW w:w="1620" w:type="dxa"/>
            <w:tcBorders>
              <w:bottom w:val="single" w:sz="4" w:space="0" w:color="auto"/>
              <w:right w:val="single" w:sz="4" w:space="0" w:color="auto"/>
            </w:tcBorders>
          </w:tcPr>
          <w:p w14:paraId="2255EB59" w14:textId="30D659C0" w:rsidR="006210E6" w:rsidRDefault="00F51076" w:rsidP="006210E6">
            <w:pPr>
              <w:jc w:val="center"/>
            </w:pPr>
            <w:r w:rsidRPr="00F51076">
              <w:t>44.4132</w:t>
            </w:r>
          </w:p>
        </w:tc>
      </w:tr>
    </w:tbl>
    <w:p w14:paraId="13AC4A27" w14:textId="53A56374" w:rsidR="00827B88" w:rsidRDefault="00827B88" w:rsidP="00827B88"/>
    <w:p w14:paraId="0AE53635" w14:textId="165D334C" w:rsidR="00827B88" w:rsidRDefault="00827B88" w:rsidP="00827B88"/>
    <w:p w14:paraId="1085AC40" w14:textId="77777777" w:rsidR="00827B88" w:rsidRDefault="00827B88" w:rsidP="00827B88"/>
    <w:p w14:paraId="505A621E" w14:textId="7B742FA2" w:rsidR="006A2DAF" w:rsidRDefault="00BA570F" w:rsidP="00827B88">
      <w:pPr>
        <w:pStyle w:val="ListParagraph"/>
        <w:numPr>
          <w:ilvl w:val="0"/>
          <w:numId w:val="1"/>
        </w:numPr>
        <w:ind w:left="270" w:hanging="270"/>
      </w:pPr>
      <w:r>
        <w:t>Below</w:t>
      </w:r>
      <w:r w:rsidR="00FD77AF">
        <w:t xml:space="preserve"> are plots of the probabilities for the first two energy levels of the even function. Each line represents a different well depth. Well depths were varied between 0.1 and 1e5. The peaks in the probability density plots increase as the well depth increases.</w:t>
      </w:r>
      <w:r w:rsidR="009B114F">
        <w:t xml:space="preserve"> For the second energy level it is evident that some lines show a nonzero probability outside of the box. As well depth increases the nonzero probability outside the box is reduced to nothing with a large well depth.</w:t>
      </w:r>
      <w:r w:rsidR="001B0665">
        <w:t xml:space="preserve"> This is because the higher the potential barrier the less likely the particle is to tunnel through it. </w:t>
      </w:r>
      <w:r w:rsidR="001B486A">
        <w:t xml:space="preserve">Energy level two eventually goes to zero as well depth is increased. </w:t>
      </w:r>
    </w:p>
    <w:p w14:paraId="68B95DE6" w14:textId="5E0AEDF3" w:rsidR="00BA570F" w:rsidRDefault="00BA570F" w:rsidP="00BA570F">
      <w:r>
        <w:rPr>
          <w:noProof/>
        </w:rPr>
        <w:drawing>
          <wp:inline distT="0" distB="0" distL="0" distR="0" wp14:anchorId="40D6A99E" wp14:editId="23DE482D">
            <wp:extent cx="2926080" cy="1994799"/>
            <wp:effectExtent l="0" t="0" r="7620" b="571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0" cy="1994799"/>
                    </a:xfrm>
                    <a:prstGeom prst="rect">
                      <a:avLst/>
                    </a:prstGeom>
                  </pic:spPr>
                </pic:pic>
              </a:graphicData>
            </a:graphic>
          </wp:inline>
        </w:drawing>
      </w:r>
      <w:r>
        <w:rPr>
          <w:noProof/>
        </w:rPr>
        <w:drawing>
          <wp:inline distT="0" distB="0" distL="0" distR="0" wp14:anchorId="64577A7D" wp14:editId="78CE38C3">
            <wp:extent cx="2926080" cy="2102338"/>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080" cy="2102338"/>
                    </a:xfrm>
                    <a:prstGeom prst="rect">
                      <a:avLst/>
                    </a:prstGeom>
                  </pic:spPr>
                </pic:pic>
              </a:graphicData>
            </a:graphic>
          </wp:inline>
        </w:drawing>
      </w:r>
    </w:p>
    <w:sectPr w:rsidR="00BA570F" w:rsidSect="00A94B13">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D6DF" w14:textId="77777777" w:rsidR="002767A9" w:rsidRDefault="002767A9" w:rsidP="00A94B13">
      <w:pPr>
        <w:spacing w:after="0" w:line="240" w:lineRule="auto"/>
      </w:pPr>
      <w:r>
        <w:separator/>
      </w:r>
    </w:p>
  </w:endnote>
  <w:endnote w:type="continuationSeparator" w:id="0">
    <w:p w14:paraId="17149742" w14:textId="77777777" w:rsidR="002767A9" w:rsidRDefault="002767A9" w:rsidP="00A9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4869" w14:textId="77777777" w:rsidR="002767A9" w:rsidRDefault="002767A9" w:rsidP="00A94B13">
      <w:pPr>
        <w:spacing w:after="0" w:line="240" w:lineRule="auto"/>
      </w:pPr>
      <w:r>
        <w:separator/>
      </w:r>
    </w:p>
  </w:footnote>
  <w:footnote w:type="continuationSeparator" w:id="0">
    <w:p w14:paraId="461B0BBB" w14:textId="77777777" w:rsidR="002767A9" w:rsidRDefault="002767A9" w:rsidP="00A94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1E5DD" w14:textId="3FC96822" w:rsidR="00A94B13" w:rsidRDefault="00A94B13">
    <w:pPr>
      <w:pStyle w:val="Header"/>
    </w:pPr>
    <w:r>
      <w:t>Ryan Melander</w:t>
    </w:r>
  </w:p>
  <w:p w14:paraId="2CACA7D6" w14:textId="5C922130" w:rsidR="00A94B13" w:rsidRDefault="00A94B13">
    <w:pPr>
      <w:pStyle w:val="Header"/>
    </w:pPr>
    <w:r>
      <w:t>ME 556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275FD"/>
    <w:multiLevelType w:val="hybridMultilevel"/>
    <w:tmpl w:val="952E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66B3C"/>
    <w:multiLevelType w:val="hybridMultilevel"/>
    <w:tmpl w:val="F2426E6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91C0A"/>
    <w:multiLevelType w:val="hybridMultilevel"/>
    <w:tmpl w:val="B47C9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13"/>
    <w:rsid w:val="001B0665"/>
    <w:rsid w:val="001B486A"/>
    <w:rsid w:val="00215A6B"/>
    <w:rsid w:val="00244C45"/>
    <w:rsid w:val="002767A9"/>
    <w:rsid w:val="002E3ACD"/>
    <w:rsid w:val="00343791"/>
    <w:rsid w:val="0035125E"/>
    <w:rsid w:val="00475CA1"/>
    <w:rsid w:val="00484A02"/>
    <w:rsid w:val="004976C8"/>
    <w:rsid w:val="006210E6"/>
    <w:rsid w:val="00654172"/>
    <w:rsid w:val="006A2DAF"/>
    <w:rsid w:val="007B3B2E"/>
    <w:rsid w:val="00827B88"/>
    <w:rsid w:val="00986A1D"/>
    <w:rsid w:val="009B114F"/>
    <w:rsid w:val="00A94B13"/>
    <w:rsid w:val="00AA4CDD"/>
    <w:rsid w:val="00BA570F"/>
    <w:rsid w:val="00E34529"/>
    <w:rsid w:val="00F51076"/>
    <w:rsid w:val="00FD68C6"/>
    <w:rsid w:val="00FD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311A"/>
  <w15:chartTrackingRefBased/>
  <w15:docId w15:val="{C6F3432A-454D-43BC-AF18-F000C110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13"/>
    <w:pPr>
      <w:ind w:left="720"/>
      <w:contextualSpacing/>
    </w:pPr>
  </w:style>
  <w:style w:type="paragraph" w:styleId="Header">
    <w:name w:val="header"/>
    <w:basedOn w:val="Normal"/>
    <w:link w:val="HeaderChar"/>
    <w:uiPriority w:val="99"/>
    <w:unhideWhenUsed/>
    <w:rsid w:val="00A9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B13"/>
  </w:style>
  <w:style w:type="paragraph" w:styleId="Footer">
    <w:name w:val="footer"/>
    <w:basedOn w:val="Normal"/>
    <w:link w:val="FooterChar"/>
    <w:uiPriority w:val="99"/>
    <w:unhideWhenUsed/>
    <w:rsid w:val="00A9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B13"/>
  </w:style>
  <w:style w:type="table" w:styleId="TableGrid">
    <w:name w:val="Table Grid"/>
    <w:basedOn w:val="TableNormal"/>
    <w:uiPriority w:val="39"/>
    <w:rsid w:val="00621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D68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20</cp:revision>
  <dcterms:created xsi:type="dcterms:W3CDTF">2022-01-21T01:56:00Z</dcterms:created>
  <dcterms:modified xsi:type="dcterms:W3CDTF">2022-01-21T20:58:00Z</dcterms:modified>
</cp:coreProperties>
</file>