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amel-cn-prepost-assessment-structure"/>
    <w:p>
      <w:pPr>
        <w:pStyle w:val="Heading1"/>
      </w:pPr>
      <w:r>
        <w:t xml:space="preserve">CAMEL-CN Pre/Post Assessment Structure</w:t>
      </w:r>
    </w:p>
    <w:bookmarkStart w:id="15" w:name="description-for-irb-submission"/>
    <w:p>
      <w:pPr>
        <w:pStyle w:val="Heading2"/>
      </w:pPr>
      <w:r>
        <w:t xml:space="preserve">Description for IRB Submission</w:t>
      </w:r>
    </w:p>
    <w:p>
      <w:r>
        <w:pict>
          <v:rect style="width:0;height:1.5pt" o:hralign="center" o:hrstd="t" o:hr="t"/>
        </w:pict>
      </w:r>
    </w:p>
    <w:bookmarkStart w:id="9" w:name="purpose"/>
    <w:p>
      <w:pPr>
        <w:pStyle w:val="Heading3"/>
      </w:pPr>
      <w:r>
        <w:t xml:space="preserve">Purpose</w:t>
      </w:r>
    </w:p>
    <w:p>
      <w:pPr>
        <w:pStyle w:val="FirstParagraph"/>
      </w:pPr>
      <w:r>
        <w:t xml:space="preserve">The pre- and post-assessments are used to examine whether and how students’ mathematical modeling competencies change over the course of instruction. The assessments are not used to assign grades, determine course placement, or evaluate teacher performance. All data are used for research purposes only.</w:t>
      </w:r>
    </w:p>
    <w:p>
      <w:r>
        <w:pict>
          <v:rect style="width:0;height:1.5pt" o:hralign="center" o:hrstd="t" o:hr="t"/>
        </w:pict>
      </w:r>
    </w:p>
    <w:bookmarkEnd w:id="9"/>
    <w:bookmarkStart w:id="10" w:name="constructs-targeted"/>
    <w:p>
      <w:pPr>
        <w:pStyle w:val="Heading3"/>
      </w:pPr>
      <w:r>
        <w:t xml:space="preserve">Constructs Targeted</w:t>
      </w:r>
    </w:p>
    <w:p>
      <w:pPr>
        <w:pStyle w:val="FirstParagraph"/>
      </w:pPr>
      <w:r>
        <w:t xml:space="preserve">The assessments target the following mathematical modeling competencies, consistent with national guidance on mathematical modeling and statistics education (GAISE II, CCSSM):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Competency</w:t>
            </w:r>
          </w:p>
        </w:tc>
        <w:tc>
          <w:tcPr/>
          <w:p>
            <w:pPr>
              <w:pStyle w:val="Compact"/>
            </w:pPr>
            <w:r>
              <w:t xml:space="preserve">Description</w:t>
            </w:r>
          </w:p>
        </w:tc>
      </w:tr>
      <w:tr>
        <w:tc>
          <w:tcPr/>
          <w:p>
            <w:pPr>
              <w:pStyle w:val="Compact"/>
            </w:pPr>
            <w:r>
              <w:rPr>
                <w:b/>
                <w:bCs/>
              </w:rPr>
              <w:t xml:space="preserve">Assumption-making</w:t>
            </w:r>
          </w:p>
        </w:tc>
        <w:tc>
          <w:tcPr/>
          <w:p>
            <w:pPr>
              <w:pStyle w:val="Compact"/>
            </w:pPr>
            <w:r>
              <w:t xml:space="preserve">Identifying and stating simplifying assumptions needed to approach the problem</w:t>
            </w:r>
          </w:p>
        </w:tc>
      </w:tr>
      <w:tr>
        <w:tc>
          <w:tcPr/>
          <w:p>
            <w:pPr>
              <w:pStyle w:val="Compact"/>
            </w:pPr>
            <w:r>
              <w:rPr>
                <w:b/>
                <w:bCs/>
              </w:rPr>
              <w:t xml:space="preserve">Variable identification</w:t>
            </w:r>
          </w:p>
        </w:tc>
        <w:tc>
          <w:tcPr/>
          <w:p>
            <w:pPr>
              <w:pStyle w:val="Compact"/>
            </w:pPr>
            <w:r>
              <w:t xml:space="preserve">Recognizing and selecting relevant variables from a complex dataset</w:t>
            </w:r>
          </w:p>
        </w:tc>
      </w:tr>
      <w:tr>
        <w:tc>
          <w:tcPr/>
          <w:p>
            <w:pPr>
              <w:pStyle w:val="Compact"/>
            </w:pPr>
            <w:r>
              <w:rPr>
                <w:b/>
                <w:bCs/>
              </w:rPr>
              <w:t xml:space="preserve">Model construction</w:t>
            </w:r>
          </w:p>
        </w:tc>
        <w:tc>
          <w:tcPr/>
          <w:p>
            <w:pPr>
              <w:pStyle w:val="Compact"/>
            </w:pPr>
            <w:r>
              <w:t xml:space="preserve">Building a mathematical or statistical representation (equation, regression, graph, summary statistic, or code-based model)</w:t>
            </w:r>
          </w:p>
        </w:tc>
      </w:tr>
      <w:tr>
        <w:tc>
          <w:tcPr/>
          <w:p>
            <w:pPr>
              <w:pStyle w:val="Compact"/>
            </w:pPr>
            <w:r>
              <w:rPr>
                <w:b/>
                <w:bCs/>
              </w:rPr>
              <w:t xml:space="preserve">Model evaluation</w:t>
            </w:r>
          </w:p>
        </w:tc>
        <w:tc>
          <w:tcPr/>
          <w:p>
            <w:pPr>
              <w:pStyle w:val="Compact"/>
            </w:pPr>
            <w:r>
              <w:t xml:space="preserve">Judging whether the model is adequate, checking outputs against the real-world context</w:t>
            </w:r>
          </w:p>
        </w:tc>
      </w:tr>
      <w:tr>
        <w:tc>
          <w:tcPr/>
          <w:p>
            <w:pPr>
              <w:pStyle w:val="Compact"/>
            </w:pPr>
            <w:r>
              <w:rPr>
                <w:b/>
                <w:bCs/>
              </w:rPr>
              <w:t xml:space="preserve">Model revision</w:t>
            </w:r>
          </w:p>
        </w:tc>
        <w:tc>
          <w:tcPr/>
          <w:p>
            <w:pPr>
              <w:pStyle w:val="Compact"/>
            </w:pPr>
            <w:r>
              <w:t xml:space="preserve">Updating a model in response to results, new information, or identified weaknesses</w:t>
            </w:r>
          </w:p>
        </w:tc>
      </w:tr>
      <w:tr>
        <w:tc>
          <w:tcPr/>
          <w:p>
            <w:pPr>
              <w:pStyle w:val="Compact"/>
            </w:pPr>
            <w:r>
              <w:rPr>
                <w:b/>
                <w:bCs/>
              </w:rPr>
              <w:t xml:space="preserve">Contextual interpretation</w:t>
            </w:r>
          </w:p>
        </w:tc>
        <w:tc>
          <w:tcPr/>
          <w:p>
            <w:pPr>
              <w:pStyle w:val="Compact"/>
            </w:pPr>
            <w:r>
              <w:t xml:space="preserve">Explaining what model outputs mean in the real-world context (not just numerically)</w:t>
            </w:r>
          </w:p>
        </w:tc>
      </w:tr>
      <w:tr>
        <w:tc>
          <w:tcPr/>
          <w:p>
            <w:pPr>
              <w:pStyle w:val="Compact"/>
            </w:pPr>
            <w:r>
              <w:rPr>
                <w:b/>
                <w:bCs/>
              </w:rPr>
              <w:t xml:space="preserve">Uncertainty and trade-offs</w:t>
            </w:r>
          </w:p>
        </w:tc>
        <w:tc>
          <w:tcPr/>
          <w:p>
            <w:pPr>
              <w:pStyle w:val="Compact"/>
            </w:pPr>
            <w:r>
              <w:t xml:space="preserve">Acknowledging the limits of a model, measurement error, or alternative modeling choices</w:t>
            </w:r>
          </w:p>
        </w:tc>
      </w:tr>
    </w:tbl>
    <w:p>
      <w:r>
        <w:pict>
          <v:rect style="width:0;height:1.5pt" o:hralign="center" o:hrstd="t" o:hr="t"/>
        </w:pict>
      </w:r>
    </w:p>
    <w:bookmarkEnd w:id="10"/>
    <w:bookmarkStart w:id="11" w:name="assessment-format"/>
    <w:p>
      <w:pPr>
        <w:pStyle w:val="Heading3"/>
      </w:pPr>
      <w:r>
        <w:t xml:space="preserve">Assessment Format</w:t>
      </w:r>
    </w:p>
    <w:p>
      <w:pPr>
        <w:pStyle w:val="FirstParagraph"/>
      </w:pPr>
      <w:r>
        <w:t xml:space="preserve">Each assessment presents students with a</w:t>
      </w:r>
      <w:r>
        <w:t xml:space="preserve"> </w:t>
      </w:r>
      <w:r>
        <w:rPr>
          <w:b/>
          <w:bCs/>
        </w:rPr>
        <w:t xml:space="preserve">short authentic dataset</w:t>
      </w:r>
      <w:r>
        <w:t xml:space="preserve"> </w:t>
      </w:r>
      <w:r>
        <w:t xml:space="preserve">and a</w:t>
      </w:r>
      <w:r>
        <w:t xml:space="preserve"> </w:t>
      </w:r>
      <w:r>
        <w:rPr>
          <w:b/>
          <w:bCs/>
        </w:rPr>
        <w:t xml:space="preserve">modeling scenario</w:t>
      </w:r>
      <w:r>
        <w:t xml:space="preserve"> </w:t>
      </w:r>
      <w:r>
        <w:t xml:space="preserve">drawn from the same domain as the study curriculum (e.g., materials science, building energy systems, data systems). The scenario is different from the datasets used in instruction so that students cannot simply recall a previously practiced solution.</w:t>
      </w:r>
    </w:p>
    <w:p>
      <w:pPr>
        <w:pStyle w:val="BodyText"/>
      </w:pPr>
      <w:r>
        <w:t xml:space="preserve">The assessment consists of two parts:</w:t>
      </w:r>
    </w:p>
    <w:p>
      <w:pPr>
        <w:pStyle w:val="BodyText"/>
      </w:pPr>
      <w:r>
        <w:rPr>
          <w:b/>
          <w:bCs/>
        </w:rPr>
        <w:t xml:space="preserve">Part 1 — Structured modeling task</w:t>
      </w:r>
      <w:r>
        <w:t xml:space="preserve"> </w:t>
      </w:r>
      <w:r>
        <w:t xml:space="preserve">(approx. 20–30 minutes)</w:t>
      </w:r>
    </w:p>
    <w:p>
      <w:pPr>
        <w:pStyle w:val="BodyText"/>
      </w:pPr>
      <w:r>
        <w:t xml:space="preserve">Students work through a modeling task with several scaffolded written-response prompts:</w:t>
      </w:r>
      <w:r>
        <w:t xml:space="preserve"> </w:t>
      </w:r>
      <w:r>
        <w:t xml:space="preserve">-</w:t>
      </w:r>
      <w:r>
        <w:t xml:space="preserve"> </w:t>
      </w:r>
      <w:r>
        <w:rPr>
          <w:i/>
          <w:iCs/>
        </w:rPr>
        <w:t xml:space="preserve">What question is this dataset trying to help you answer?</w:t>
      </w:r>
      <w:r>
        <w:t xml:space="preserve"> </w:t>
      </w:r>
      <w:r>
        <w:t xml:space="preserve">-</w:t>
      </w:r>
      <w:r>
        <w:t xml:space="preserve"> </w:t>
      </w:r>
      <w:r>
        <w:rPr>
          <w:i/>
          <w:iCs/>
        </w:rPr>
        <w:t xml:space="preserve">What assumptions are you making? Why?</w:t>
      </w:r>
      <w:r>
        <w:t xml:space="preserve"> </w:t>
      </w:r>
      <w:r>
        <w:t xml:space="preserve">-</w:t>
      </w:r>
      <w:r>
        <w:t xml:space="preserve"> </w:t>
      </w:r>
      <w:r>
        <w:rPr>
          <w:i/>
          <w:iCs/>
        </w:rPr>
        <w:t xml:space="preserve">Which variables did you choose to include or focus on, and why?</w:t>
      </w:r>
      <w:r>
        <w:t xml:space="preserve"> </w:t>
      </w:r>
      <w:r>
        <w:t xml:space="preserve">-</w:t>
      </w:r>
      <w:r>
        <w:t xml:space="preserve"> </w:t>
      </w:r>
      <w:r>
        <w:rPr>
          <w:i/>
          <w:iCs/>
        </w:rPr>
        <w:t xml:space="preserve">Describe or sketch your model. What does it show?</w:t>
      </w:r>
      <w:r>
        <w:t xml:space="preserve"> </w:t>
      </w:r>
      <w:r>
        <w:t xml:space="preserve">-</w:t>
      </w:r>
      <w:r>
        <w:t xml:space="preserve"> </w:t>
      </w:r>
      <w:r>
        <w:rPr>
          <w:i/>
          <w:iCs/>
        </w:rPr>
        <w:t xml:space="preserve">What does your result mean in context? Would you trust this model? Why or why not?</w:t>
      </w:r>
      <w:r>
        <w:t xml:space="preserve"> </w:t>
      </w:r>
      <w:r>
        <w:t xml:space="preserve">-</w:t>
      </w:r>
      <w:r>
        <w:t xml:space="preserve"> </w:t>
      </w:r>
      <w:r>
        <w:rPr>
          <w:i/>
          <w:iCs/>
        </w:rPr>
        <w:t xml:space="preserve">What would you change or improve if you had more time?</w:t>
      </w:r>
    </w:p>
    <w:p>
      <w:pPr>
        <w:pStyle w:val="BodyText"/>
      </w:pPr>
      <w:r>
        <w:t xml:space="preserve">Students may use paper, calculators, or printed dataset summaries. Python notebook access is not provided during the assessment so that results reflect students’ conceptual understanding rather than coding fluency.</w:t>
      </w:r>
    </w:p>
    <w:p>
      <w:pPr>
        <w:pStyle w:val="BodyText"/>
      </w:pPr>
      <w:r>
        <w:rPr>
          <w:b/>
          <w:bCs/>
        </w:rPr>
        <w:t xml:space="preserve">Part 2 — Brief reflection</w:t>
      </w:r>
      <w:r>
        <w:t xml:space="preserve"> </w:t>
      </w:r>
      <w:r>
        <w:t xml:space="preserve">(approx. 5–10 minutes)</w:t>
      </w:r>
    </w:p>
    <w:p>
      <w:pPr>
        <w:pStyle w:val="BodyText"/>
      </w:pPr>
      <w:r>
        <w:t xml:space="preserve">Three to five short-answer prompts asking students to reflect on their reasoning process and confidence in their model. These items provide qualitative data on students’ self-assessment of their modeling competencies and attitudes toward working with complex data.</w:t>
      </w:r>
    </w:p>
    <w:p>
      <w:r>
        <w:pict>
          <v:rect style="width:0;height:1.5pt" o:hralign="center" o:hrstd="t" o:hr="t"/>
        </w:pict>
      </w:r>
    </w:p>
    <w:bookmarkEnd w:id="11"/>
    <w:bookmarkStart w:id="12" w:name="administration"/>
    <w:p>
      <w:pPr>
        <w:pStyle w:val="Heading3"/>
      </w:pPr>
      <w:r>
        <w:t xml:space="preserve">Administration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Pre-assessment timing</w:t>
            </w:r>
          </w:p>
        </w:tc>
        <w:tc>
          <w:tcPr/>
          <w:p>
            <w:pPr>
              <w:pStyle w:val="Compact"/>
            </w:pPr>
            <w:r>
              <w:t xml:space="preserve">Administered before the first instructional activity, during regular class time</w:t>
            </w:r>
          </w:p>
        </w:tc>
      </w:tr>
      <w:tr>
        <w:tc>
          <w:tcPr/>
          <w:p>
            <w:pPr>
              <w:pStyle w:val="Compact"/>
            </w:pPr>
            <w:r>
              <w:rPr>
                <w:b/>
                <w:bCs/>
              </w:rPr>
              <w:t xml:space="preserve">Post-assessment timing</w:t>
            </w:r>
          </w:p>
        </w:tc>
        <w:tc>
          <w:tcPr/>
          <w:p>
            <w:pPr>
              <w:pStyle w:val="Compact"/>
            </w:pPr>
            <w:r>
              <w:t xml:space="preserve">Administered after the final instructional activity, during regular class time</w:t>
            </w:r>
          </w:p>
        </w:tc>
      </w:tr>
      <w:tr>
        <w:tc>
          <w:tcPr/>
          <w:p>
            <w:pPr>
              <w:pStyle w:val="Compact"/>
            </w:pPr>
            <w:r>
              <w:rPr>
                <w:b/>
                <w:bCs/>
              </w:rPr>
              <w:t xml:space="preserve">Time required</w:t>
            </w:r>
          </w:p>
        </w:tc>
        <w:tc>
          <w:tcPr/>
          <w:p>
            <w:pPr>
              <w:pStyle w:val="Compact"/>
            </w:pPr>
            <w:r>
              <w:t xml:space="preserve">Approximately 30–40 minutes per administration</w:t>
            </w:r>
          </w:p>
        </w:tc>
      </w:tr>
      <w:tr>
        <w:tc>
          <w:tcPr/>
          <w:p>
            <w:pPr>
              <w:pStyle w:val="Compact"/>
            </w:pPr>
            <w:r>
              <w:rPr>
                <w:b/>
                <w:bCs/>
              </w:rPr>
              <w:t xml:space="preserve">Format</w:t>
            </w:r>
          </w:p>
        </w:tc>
        <w:tc>
          <w:tcPr/>
          <w:p>
            <w:pPr>
              <w:pStyle w:val="Compact"/>
            </w:pPr>
            <w:r>
              <w:t xml:space="preserve">Paper-based written response (scanned for analysis); no machine-scored items</w:t>
            </w:r>
          </w:p>
        </w:tc>
      </w:tr>
      <w:tr>
        <w:tc>
          <w:tcPr/>
          <w:p>
            <w:pPr>
              <w:pStyle w:val="Compact"/>
            </w:pPr>
            <w:r>
              <w:rPr>
                <w:b/>
                <w:bCs/>
              </w:rPr>
              <w:t xml:space="preserve">Who administers</w:t>
            </w:r>
          </w:p>
        </w:tc>
        <w:tc>
          <w:tcPr/>
          <w:p>
            <w:pPr>
              <w:pStyle w:val="Compact"/>
            </w:pPr>
            <w:r>
              <w:t xml:space="preserve">Classroom teacher, following a brief protocol provided by the research team</w:t>
            </w:r>
          </w:p>
        </w:tc>
      </w:tr>
      <w:tr>
        <w:tc>
          <w:tcPr/>
          <w:p>
            <w:pPr>
              <w:pStyle w:val="Compact"/>
            </w:pPr>
            <w:r>
              <w:rPr>
                <w:b/>
                <w:bCs/>
              </w:rPr>
              <w:t xml:space="preserve">Scoring</w:t>
            </w:r>
          </w:p>
        </w:tc>
        <w:tc>
          <w:tcPr/>
          <w:p>
            <w:pPr>
              <w:pStyle w:val="Compact"/>
            </w:pPr>
            <w:r>
              <w:t xml:space="preserve">Scored by trained research team members using a rubric developed for this study; a subset scored by two coders to establish inter-rater reliability</w:t>
            </w:r>
          </w:p>
        </w:tc>
      </w:tr>
    </w:tbl>
    <w:p>
      <w:r>
        <w:pict>
          <v:rect style="width:0;height:1.5pt" o:hralign="center" o:hrstd="t" o:hr="t"/>
        </w:pict>
      </w:r>
    </w:p>
    <w:bookmarkEnd w:id="12"/>
    <w:bookmarkStart w:id="13" w:name="scoring-approach"/>
    <w:p>
      <w:pPr>
        <w:pStyle w:val="Heading3"/>
      </w:pPr>
      <w:r>
        <w:t xml:space="preserve">Scoring Approach</w:t>
      </w:r>
    </w:p>
    <w:p>
      <w:pPr>
        <w:pStyle w:val="FirstParagraph"/>
      </w:pPr>
      <w:r>
        <w:t xml:space="preserve">Responses are scored using a</w:t>
      </w:r>
      <w:r>
        <w:t xml:space="preserve"> </w:t>
      </w:r>
      <w:r>
        <w:rPr>
          <w:b/>
          <w:bCs/>
        </w:rPr>
        <w:t xml:space="preserve">process-oriented rubric</w:t>
      </w:r>
      <w:r>
        <w:t xml:space="preserve"> </w:t>
      </w:r>
      <w:r>
        <w:t xml:space="preserve">that rates each competency on a 0–3 scale:</w:t>
      </w:r>
    </w:p>
    <w:p>
      <w:pPr>
        <w:pStyle w:val="Compact"/>
        <w:numPr>
          <w:ilvl w:val="0"/>
          <w:numId w:val="1001"/>
        </w:numPr>
      </w:pPr>
      <w:r>
        <w:rPr>
          <w:b/>
          <w:bCs/>
        </w:rPr>
        <w:t xml:space="preserve">0</w:t>
      </w:r>
      <w:r>
        <w:t xml:space="preserve"> </w:t>
      </w:r>
      <w:r>
        <w:t xml:space="preserve">— Not present or not attempted</w:t>
      </w:r>
    </w:p>
    <w:p>
      <w:pPr>
        <w:pStyle w:val="Compact"/>
        <w:numPr>
          <w:ilvl w:val="0"/>
          <w:numId w:val="1001"/>
        </w:numPr>
      </w:pPr>
      <w:r>
        <w:rPr>
          <w:b/>
          <w:bCs/>
        </w:rPr>
        <w:t xml:space="preserve">1</w:t>
      </w:r>
      <w:r>
        <w:t xml:space="preserve"> </w:t>
      </w:r>
      <w:r>
        <w:t xml:space="preserve">— Partially present; attempt is vague or missing key elements</w:t>
      </w:r>
    </w:p>
    <w:p>
      <w:pPr>
        <w:pStyle w:val="Compact"/>
        <w:numPr>
          <w:ilvl w:val="0"/>
          <w:numId w:val="1001"/>
        </w:numPr>
      </w:pPr>
      <w:r>
        <w:rPr>
          <w:b/>
          <w:bCs/>
        </w:rPr>
        <w:t xml:space="preserve">2</w:t>
      </w:r>
      <w:r>
        <w:t xml:space="preserve"> </w:t>
      </w:r>
      <w:r>
        <w:t xml:space="preserve">— Present; student demonstrates the competency with minor gaps</w:t>
      </w:r>
    </w:p>
    <w:p>
      <w:pPr>
        <w:pStyle w:val="Compact"/>
        <w:numPr>
          <w:ilvl w:val="0"/>
          <w:numId w:val="1001"/>
        </w:numPr>
      </w:pPr>
      <w:r>
        <w:rPr>
          <w:b/>
          <w:bCs/>
        </w:rPr>
        <w:t xml:space="preserve">3</w:t>
      </w:r>
      <w:r>
        <w:t xml:space="preserve"> </w:t>
      </w:r>
      <w:r>
        <w:t xml:space="preserve">— Fully present; student demonstrates the competency clearly and in context</w:t>
      </w:r>
    </w:p>
    <w:p>
      <w:pPr>
        <w:pStyle w:val="FirstParagraph"/>
      </w:pPr>
      <w:r>
        <w:t xml:space="preserve">Scores are used for research analysis only. Individual scores are not reported to teachers, students, or schools. Aggregate patterns across classrooms and time points are reported in research publications and project reports.</w:t>
      </w:r>
    </w:p>
    <w:p>
      <w:r>
        <w:pict>
          <v:rect style="width:0;height:1.5pt" o:hralign="center" o:hrstd="t" o:hr="t"/>
        </w:pict>
      </w:r>
    </w:p>
    <w:bookmarkEnd w:id="13"/>
    <w:bookmarkStart w:id="14" w:name="status"/>
    <w:p>
      <w:pPr>
        <w:pStyle w:val="Heading3"/>
      </w:pPr>
      <w:r>
        <w:t xml:space="preserve">Status</w:t>
      </w:r>
    </w:p>
    <w:p>
      <w:pPr>
        <w:pStyle w:val="FirstParagraph"/>
      </w:pPr>
      <w:r>
        <w:t xml:space="preserve">Assessment items are currently under development and will be piloted with the first implementation cohort. Final instruments will be submitted to the IRB as a modification prior to data collection if required.</w:t>
      </w:r>
    </w:p>
    <w:p>
      <w:r>
        <w:pict>
          <v:rect style="width:0;height:1.5pt" o:hralign="center" o:hrstd="t" o:hr="t"/>
        </w:pict>
      </w:r>
    </w:p>
    <w:p>
      <w:pPr>
        <w:pStyle w:val="FirstParagraph"/>
      </w:pPr>
      <w:r>
        <w:rPr>
          <w:i/>
          <w:iCs/>
        </w:rPr>
        <w:t xml:space="preserve">Document version: Draft — July 2026</w:t>
      </w:r>
      <w:r>
        <w:t xml:space="preserve"> </w:t>
      </w:r>
      <w:r>
        <w:rPr>
          <w:i/>
          <w:iCs/>
        </w:rPr>
        <w:t xml:space="preserve">Contact: Rebecca Napolitano, nap@psu.edu</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2026-07-09T14:22:05Z</dcterms:created>
  <dcterms:modified xsi:type="dcterms:W3CDTF">2026-07-09T14:22:05Z</dcterms:modified>
</cp:coreProperties>
</file>

<file path=docProps/custom.xml><?xml version="1.0" encoding="utf-8"?>
<Properties xmlns="http://schemas.openxmlformats.org/officeDocument/2006/custom-properties" xmlns:vt="http://schemas.openxmlformats.org/officeDocument/2006/docPropsVTypes"/>
</file>