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2025-05-01</w:t>
      </w:r>
      <w:r>
        <w:t xml:space="preserve"> </w:t>
      </w:r>
      <w:r>
        <w:rPr>
          <w:b/>
          <w:bCs/>
        </w:rPr>
        <w:t xml:space="preserve">Topics:</w:t>
      </w:r>
      <w:r>
        <w:t xml:space="preserve"> </w:t>
      </w:r>
      <w:r>
        <w:t xml:space="preserve">App development · Puerto Rico partnership · Grant modification</w:t>
      </w:r>
    </w:p>
    <w:bookmarkStart w:id="20" w:name="app-concept-direction"/>
    <w:p>
      <w:pPr>
        <w:pStyle w:val="Heading2"/>
      </w:pPr>
      <w:r>
        <w:t xml:space="preserve">App concept &amp; direction</w:t>
      </w:r>
    </w:p>
    <w:p>
      <w:pPr>
        <w:pStyle w:val="FirstParagraph"/>
      </w:pPr>
      <w:r>
        <w:t xml:space="preserve">Originally envisioned as a technical flood-proofing tool (engineering guidance). After conversations with stakeholders — including the Vermont SHPO — the scope has expanded to also cover how to</w:t>
      </w:r>
      <w:r>
        <w:t xml:space="preserve"> </w:t>
      </w:r>
      <w:r>
        <w:rPr>
          <w:b/>
          <w:bCs/>
        </w:rPr>
        <w:t xml:space="preserve">request assistance</w:t>
      </w:r>
      <w:r>
        <w:t xml:space="preserve">. Homeowners need guidance on navigating the assistance process, not just engineering details.</w:t>
      </w:r>
    </w:p>
    <w:p>
      <w:pPr>
        <w:pStyle w:val="Compact"/>
        <w:numPr>
          <w:ilvl w:val="0"/>
          <w:numId w:val="1001"/>
        </w:numPr>
      </w:pPr>
      <w:r>
        <w:t xml:space="preserve">Core use case: citizen-facing app that guides homeowners through post-disaster steps (e.g. after a hurricane) — understanding how to ask for help, what to do next</w:t>
      </w:r>
    </w:p>
    <w:p>
      <w:pPr>
        <w:pStyle w:val="Compact"/>
        <w:numPr>
          <w:ilvl w:val="0"/>
          <w:numId w:val="1001"/>
        </w:numPr>
      </w:pPr>
      <w:r>
        <w:t xml:space="preserve">Current focus is inland flooding (Marshall, NC; Montpelier, VT). Coastal hazards would require adding wind and wave inundation parameters, plus different retrofit types (e.g. hurricane straps)</w:t>
      </w:r>
    </w:p>
    <w:p>
      <w:pPr>
        <w:pStyle w:val="Compact"/>
        <w:numPr>
          <w:ilvl w:val="0"/>
          <w:numId w:val="1001"/>
        </w:numPr>
      </w:pPr>
      <w:r>
        <w:t xml:space="preserve">Puerto Rico presents both: coastal flooding and inland river flooding from mountainous terrain</w:t>
      </w:r>
    </w:p>
    <w:p>
      <w:pPr>
        <w:pStyle w:val="Compact"/>
        <w:numPr>
          <w:ilvl w:val="0"/>
          <w:numId w:val="1001"/>
        </w:numPr>
      </w:pPr>
      <w:r>
        <w:t xml:space="preserve">Most Puerto Rican structures are mid-century concrete/masonry — well within Simeon’s expertise</w:t>
      </w:r>
    </w:p>
    <w:p>
      <w:pPr>
        <w:pStyle w:val="BlockText"/>
      </w:pPr>
      <w:r>
        <w:t xml:space="preserve">[!todo] Simeon to reconnect with Jen (Vermont SHPO) about positioning the app as a referral tool — something she can point constituents to directly</w:t>
      </w:r>
    </w:p>
    <w:p>
      <w:r>
        <w:pict>
          <v:rect style="width:0;height:1.5pt" o:hralign="center" o:hrstd="t" o:hr="t"/>
        </w:pict>
      </w:r>
    </w:p>
    <w:bookmarkEnd w:id="20"/>
    <w:bookmarkStart w:id="21" w:name="puerto-rico-partnership-opportunity"/>
    <w:p>
      <w:pPr>
        <w:pStyle w:val="Heading2"/>
      </w:pPr>
      <w:r>
        <w:t xml:space="preserve">Puerto Rico partnership opportunity</w:t>
      </w:r>
    </w:p>
    <w:p>
      <w:pPr>
        <w:pStyle w:val="FirstParagraph"/>
      </w:pPr>
      <w:r>
        <w:rPr>
          <w:b/>
          <w:bCs/>
        </w:rPr>
        <w:t xml:space="preserve">Partner:</w:t>
      </w:r>
      <w:r>
        <w:t xml:space="preserve"> </w:t>
      </w:r>
      <w:r>
        <w:t xml:space="preserve">Puerto Rico SHPO, with whom there is an existing multi-year relationship</w:t>
      </w:r>
    </w:p>
    <w:p>
      <w:pPr>
        <w:pStyle w:val="BodyText"/>
      </w:pPr>
      <w:r>
        <w:rPr>
          <w:b/>
          <w:bCs/>
        </w:rPr>
        <w:t xml:space="preserve">Recent development:</w:t>
      </w:r>
      <w:r>
        <w:t xml:space="preserve"> </w:t>
      </w:r>
      <w:r>
        <w:t xml:space="preserve">They received a ~$1M NPS disaster response capacity-building grant (confirmed last week)</w:t>
      </w:r>
    </w:p>
    <w:p>
      <w:pPr>
        <w:pStyle w:val="BodyText"/>
      </w:pPr>
      <w:r>
        <w:rPr>
          <w:b/>
          <w:bCs/>
        </w:rPr>
        <w:t xml:space="preserve">Three funded projects include:</w:t>
      </w:r>
    </w:p>
    <w:p>
      <w:pPr>
        <w:pStyle w:val="Compact"/>
        <w:numPr>
          <w:ilvl w:val="0"/>
          <w:numId w:val="1002"/>
        </w:numPr>
      </w:pPr>
      <w:r>
        <w:t xml:space="preserve">Building assessment / inventory program (creating a statewide database)</w:t>
      </w:r>
    </w:p>
    <w:p>
      <w:pPr>
        <w:pStyle w:val="Compact"/>
        <w:numPr>
          <w:ilvl w:val="0"/>
          <w:numId w:val="1002"/>
        </w:numPr>
      </w:pPr>
      <w:r>
        <w:t xml:space="preserve">Drone procurement for mapping</w:t>
      </w:r>
    </w:p>
    <w:p>
      <w:pPr>
        <w:pStyle w:val="Compact"/>
        <w:numPr>
          <w:ilvl w:val="0"/>
          <w:numId w:val="1002"/>
        </w:numPr>
      </w:pPr>
      <w:r>
        <w:t xml:space="preserve">Field assessment training</w:t>
      </w:r>
    </w:p>
    <w:p>
      <w:pPr>
        <w:pStyle w:val="FirstParagraph"/>
      </w:pPr>
      <w:r>
        <w:rPr>
          <w:b/>
          <w:bCs/>
        </w:rPr>
        <w:t xml:space="preserve">Key collaborator:</w:t>
      </w:r>
      <w:r>
        <w:t xml:space="preserve"> </w:t>
      </w:r>
      <w:r>
        <w:t xml:space="preserve">Brent Fortenberry — leading digital documentation training, currently in Brazil, timeline TBD but likely semester-based over a 2-year cycle</w:t>
      </w:r>
    </w:p>
    <w:p>
      <w:pPr>
        <w:pStyle w:val="BodyText"/>
      </w:pPr>
      <w:r>
        <w:rPr>
          <w:b/>
          <w:bCs/>
        </w:rPr>
        <w:t xml:space="preserve">Cultural note:</w:t>
      </w:r>
      <w:r>
        <w:t xml:space="preserve"> </w:t>
      </w:r>
      <w:r>
        <w:t xml:space="preserve">Puerto Rico SHPO team is collaborative but deferential — they look to outside experts for direction and may not clearly articulate their own needs. Co-design approach recommended; proactively ask what they need rather than waiting.</w:t>
      </w:r>
    </w:p>
    <w:p>
      <w:pPr>
        <w:pStyle w:val="BodyText"/>
      </w:pPr>
      <w:r>
        <w:t xml:space="preserve">Puerto Rico’s inland municipality is their priority target — aligns well with Simeon’s app focus.</w:t>
      </w:r>
    </w:p>
    <w:p>
      <w:pPr>
        <w:pStyle w:val="BlockText"/>
      </w:pPr>
      <w:r>
        <w:t xml:space="preserve">[!todo] Set up intro between Simeon’s team and Puerto Rico SHPO contact (Morrell)</w:t>
      </w:r>
    </w:p>
    <w:p>
      <w:pPr>
        <w:pStyle w:val="BlockText"/>
      </w:pPr>
      <w:r>
        <w:t xml:space="preserve">[!todo] Simeon to reach out to Esri re: potential collaboration — attended their webinar the day before; they are doing interesting work on metadata, damage classification, and automatic detection. Puerto Rico team is already working in the Esri environment.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OpenPointGlide</w:t>
      </w:r>
      <w:r>
        <w:t xml:space="preserve"> </w:t>
      </w:r>
      <w:r>
        <w:t xml:space="preserve">(Swedish company, 3D environment) flagged as a potential complement to Esri’s 2D tooling. Working toward FedRAMP compliance. Link to be sent. Worth reviewing separately.</w:t>
      </w:r>
    </w:p>
    <w:p>
      <w:r>
        <w:pict>
          <v:rect style="width:0;height:1.5pt" o:hralign="center" o:hrstd="t" o:hr="t"/>
        </w:pict>
      </w:r>
    </w:p>
    <w:bookmarkEnd w:id="21"/>
    <w:bookmarkStart w:id="22" w:name="phd-students-field-deployment-potential"/>
    <w:p>
      <w:pPr>
        <w:pStyle w:val="Heading2"/>
      </w:pPr>
      <w:r>
        <w:t xml:space="preserve">PhD students — field deployment potential</w:t>
      </w:r>
    </w:p>
    <w:p>
      <w:pPr>
        <w:pStyle w:val="Compact"/>
        <w:numPr>
          <w:ilvl w:val="0"/>
          <w:numId w:val="1003"/>
        </w:numPr>
      </w:pPr>
      <w:r>
        <w:t xml:space="preserve">Two PhD students: former structural engineers (25 years each) from Brazil — strong background in global south building typologies</w:t>
      </w:r>
    </w:p>
    <w:p>
      <w:pPr>
        <w:pStyle w:val="Compact"/>
        <w:numPr>
          <w:ilvl w:val="0"/>
          <w:numId w:val="1003"/>
        </w:numPr>
      </w:pPr>
      <w:r>
        <w:t xml:space="preserve">One focused on flooding, one on tornadoes (expanding to hurricanes/wind)</w:t>
      </w:r>
    </w:p>
    <w:p>
      <w:pPr>
        <w:pStyle w:val="Compact"/>
        <w:numPr>
          <w:ilvl w:val="0"/>
          <w:numId w:val="1003"/>
        </w:numPr>
      </w:pPr>
      <w:r>
        <w:t xml:space="preserve">Strong candidates for on-the-ground assessment work in Puerto Rico — building documentation and app validation</w:t>
      </w:r>
    </w:p>
    <w:p>
      <w:pPr>
        <w:pStyle w:val="Compact"/>
        <w:numPr>
          <w:ilvl w:val="0"/>
          <w:numId w:val="1003"/>
        </w:numPr>
      </w:pPr>
      <w:r>
        <w:t xml:space="preserve">Summer travel would be ideal given Penn State’s academic salary structure (faculty paid for summer via research grants)</w:t>
      </w:r>
    </w:p>
    <w:p>
      <w:r>
        <w:pict>
          <v:rect style="width:0;height:1.5pt" o:hralign="center" o:hrstd="t" o:hr="t"/>
        </w:pict>
      </w:r>
    </w:p>
    <w:bookmarkEnd w:id="22"/>
    <w:bookmarkStart w:id="23" w:name="grant-modification"/>
    <w:p>
      <w:pPr>
        <w:pStyle w:val="Heading2"/>
      </w:pPr>
      <w:r>
        <w:t xml:space="preserve">Grant modification</w:t>
      </w:r>
    </w:p>
    <w:p>
      <w:pPr>
        <w:pStyle w:val="FirstParagraph"/>
      </w:pPr>
      <w:r>
        <w:rPr>
          <w:b/>
          <w:bCs/>
        </w:rPr>
        <w:t xml:space="preserve">Context:</w:t>
      </w:r>
      <w:r>
        <w:t xml:space="preserve"> </w:t>
      </w:r>
      <w:r>
        <w:t xml:space="preserve">Grants program is under pressure — new review layers on NOFAs, awards delayed across the board. Considering pushing the 2026 NOFA to 2027 and redirecting available funds via modifications to existing active grants.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active grants, including Simeon’s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period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~September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Possible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2028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Likely 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~$40,000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~June 20th</w:t>
            </w:r>
          </w:p>
        </w:tc>
      </w:tr>
    </w:tbl>
    <w:p>
      <w:pPr>
        <w:pStyle w:val="BodyText"/>
      </w:pPr>
      <w:r>
        <w:rPr>
          <w:b/>
          <w:bCs/>
        </w:rPr>
        <w:t xml:space="preserve">Justification framing:</w:t>
      </w:r>
      <w:r>
        <w:t xml:space="preserve"> </w:t>
      </w:r>
      <w:r>
        <w:t xml:space="preserve">“</w:t>
      </w:r>
      <w:r>
        <w:t xml:space="preserve">We did X; we want money to do Y — activating the app with a real community partner.</w:t>
      </w:r>
      <w:r>
        <w:t xml:space="preserve">”</w:t>
      </w:r>
      <w:r>
        <w:t xml:space="preserve"> </w:t>
      </w:r>
      <w:r>
        <w:t xml:space="preserve">Extension of existing research, not new scope. Mod document is 2–4 pages, not a full cooperative agreement.</w:t>
      </w:r>
    </w:p>
    <w:p>
      <w:pPr>
        <w:pStyle w:val="BlockText"/>
      </w:pPr>
      <w:r>
        <w:t xml:space="preserve">[!warning] Policy team still confirming whether mods can be added to grants (vs. cooperative agreements only). Answer expected to be yes, but not yet confirmed.</w:t>
      </w:r>
    </w:p>
    <w:p>
      <w:pPr>
        <w:pStyle w:val="BlockText"/>
      </w:pPr>
      <w:r>
        <w:t xml:space="preserve">[!warning] Requires sign-off from Andy (acting executive director) and Jason Truro.</w:t>
      </w:r>
    </w:p>
    <w:p>
      <w:pPr>
        <w:pStyle w:val="BlockText"/>
      </w:pPr>
      <w:r>
        <w:t xml:space="preserve">[!warning] Current administration adds regulatory uncertainty — treated as a</w:t>
      </w:r>
      <w:r>
        <w:t xml:space="preserve"> </w:t>
      </w:r>
      <w:r>
        <w:t xml:space="preserve">“</w:t>
      </w:r>
      <w:r>
        <w:t xml:space="preserve">roll of the dice.</w:t>
      </w:r>
      <w:r>
        <w:t xml:space="preserve">”</w:t>
      </w:r>
      <w:r>
        <w:t xml:space="preserve"> </w:t>
      </w:r>
      <w:r>
        <w:t xml:space="preserve">Sooner submitted, better.</w:t>
      </w:r>
    </w:p>
    <w:p>
      <w:pPr>
        <w:pStyle w:val="BlockText"/>
      </w:pPr>
      <w:r>
        <w:t xml:space="preserve">[!todo] Simeon to draft informal 2–4 page mod scope document (what has been done + proposed new activities). Mod template to be shared by NPS side.</w:t>
      </w:r>
    </w:p>
    <w:p>
      <w:pPr>
        <w:pStyle w:val="BlockText"/>
      </w:pPr>
      <w:r>
        <w:t xml:space="preserve">[!todo] NPS internal meeting next week — follow up with Simeon after re: mod approval path and final amount.</w:t>
      </w:r>
    </w:p>
    <w:p>
      <w:r>
        <w:pict>
          <v:rect style="width:0;height:1.5pt" o:hralign="center" o:hrstd="t" o:hr="t"/>
        </w:pict>
      </w:r>
    </w:p>
    <w:bookmarkEnd w:id="23"/>
    <w:bookmarkStart w:id="24" w:name="indirect-cost-fa-rate"/>
    <w:p>
      <w:pPr>
        <w:pStyle w:val="Heading2"/>
      </w:pPr>
      <w:r>
        <w:t xml:space="preserve">Indirect cost / F&amp;A rate</w:t>
      </w:r>
    </w:p>
    <w:p>
      <w:pPr>
        <w:pStyle w:val="FirstParagraph"/>
      </w:pPr>
      <w:r>
        <w:t xml:space="preserve">Penn State currently takes ~50% in F&amp;A (facilities &amp; administrative) costs, significantly reducing project funds.</w:t>
      </w:r>
    </w:p>
    <w:p>
      <w:pPr>
        <w:pStyle w:val="Compact"/>
        <w:numPr>
          <w:ilvl w:val="0"/>
          <w:numId w:val="1004"/>
        </w:numPr>
      </w:pPr>
      <w:r>
        <w:t xml:space="preserve">NPS preservation grants legislation (</w:t>
      </w:r>
      <w:r>
        <w:rPr>
          <w:b/>
          <w:bCs/>
        </w:rPr>
        <w:t xml:space="preserve">sections 305/304</w:t>
      </w:r>
      <w:r>
        <w:t xml:space="preserve">) caps total administrative costs at</w:t>
      </w:r>
      <w:r>
        <w:t xml:space="preserve"> </w:t>
      </w:r>
      <w:r>
        <w:rPr>
          <w:b/>
          <w:bCs/>
        </w:rPr>
        <w:t xml:space="preserve">25% of aggregate costs</w:t>
      </w:r>
    </w:p>
    <w:p>
      <w:pPr>
        <w:pStyle w:val="Compact"/>
        <w:numPr>
          <w:ilvl w:val="0"/>
          <w:numId w:val="1004"/>
        </w:numPr>
      </w:pPr>
      <w:r>
        <w:t xml:space="preserve">If structured under cooperative agreement authority (not grant authority), the 22% grant cap technically doesn’t apply — but the 25% statutory language may still be a viable argument</w:t>
      </w:r>
    </w:p>
    <w:p>
      <w:pPr>
        <w:pStyle w:val="Compact"/>
        <w:numPr>
          <w:ilvl w:val="0"/>
          <w:numId w:val="1004"/>
        </w:numPr>
      </w:pPr>
      <w:r>
        <w:t xml:space="preserve">Minimum rate NPS can accept is</w:t>
      </w:r>
      <w:r>
        <w:t xml:space="preserve"> </w:t>
      </w:r>
      <w:r>
        <w:rPr>
          <w:b/>
          <w:bCs/>
        </w:rPr>
        <w:t xml:space="preserve">18%</w:t>
      </w:r>
    </w:p>
    <w:p>
      <w:pPr>
        <w:pStyle w:val="Compact"/>
        <w:numPr>
          <w:ilvl w:val="0"/>
          <w:numId w:val="1004"/>
        </w:numPr>
      </w:pPr>
      <w:r>
        <w:t xml:space="preserve">Recommendation: build budget at 25% F&amp;A with legislative citation as justification — Penn State can contest it, but having the statutory backing makes it defensible</w:t>
      </w:r>
    </w:p>
    <w:p>
      <w:pPr>
        <w:pStyle w:val="BlockText"/>
      </w:pPr>
      <w:r>
        <w:t xml:space="preserve">[!todo] Simeon to review NPS legislation sections 305 and 304. Consider submitting budget at 25% F&amp;A with legislative citation.</w:t>
      </w:r>
    </w:p>
    <w:p>
      <w:r>
        <w:pict>
          <v:rect style="width:0;height:1.5pt" o:hralign="center" o:hrstd="t" o:hr="t"/>
        </w:pict>
      </w:r>
    </w:p>
    <w:bookmarkEnd w:id="24"/>
    <w:bookmarkStart w:id="25" w:name="tenure-career-direction"/>
    <w:p>
      <w:pPr>
        <w:pStyle w:val="Heading2"/>
      </w:pPr>
      <w:r>
        <w:t xml:space="preserve">Tenure &amp; career direction</w:t>
      </w:r>
    </w:p>
    <w:p>
      <w:pPr>
        <w:pStyle w:val="FirstParagraph"/>
      </w:pPr>
      <w:r>
        <w:t xml:space="preserve">Simeon was expecting her tenure decision by 5 PM on the day of this call. She noted a deliberate shift in focus post-tenure: moving away from basic science research toward applied tools and real-world community impact. This aligns well with the direction of this collaboration.</w:t>
      </w:r>
    </w:p>
    <w:p>
      <w:r>
        <w:pict>
          <v:rect style="width:0;height:1.5pt" o:hralign="center" o:hrstd="t" o:hr="t"/>
        </w:pict>
      </w:r>
    </w:p>
    <w:bookmarkEnd w:id="25"/>
    <w:bookmarkStart w:id="26" w:name="action-items-summary"/>
    <w:p>
      <w:pPr>
        <w:pStyle w:val="Heading2"/>
      </w:pPr>
      <w:r>
        <w:t xml:space="preserve">Action items summary</w:t>
      </w:r>
    </w:p>
    <w:p>
      <w:pPr>
        <w:pStyle w:val="Compact"/>
        <w:numPr>
          <w:ilvl w:val="0"/>
          <w:numId w:val="1005"/>
        </w:numPr>
      </w:pPr>
      <w:r>
        <w:t xml:space="preserve">☐ Simeon: draft informal mod scope document and share for review</w:t>
      </w:r>
    </w:p>
    <w:p>
      <w:pPr>
        <w:pStyle w:val="Compact"/>
        <w:numPr>
          <w:ilvl w:val="0"/>
          <w:numId w:val="1005"/>
        </w:numPr>
      </w:pPr>
      <w:r>
        <w:t xml:space="preserve">☐ Simeon: review F&amp;A legislation (sections 305/304) and consider 25% budget</w:t>
      </w:r>
    </w:p>
    <w:p>
      <w:pPr>
        <w:pStyle w:val="Compact"/>
        <w:numPr>
          <w:ilvl w:val="0"/>
          <w:numId w:val="1005"/>
        </w:numPr>
      </w:pPr>
      <w:r>
        <w:t xml:space="preserve">☐ Simeon: reconnect with Jen (Vermont SHPO)</w:t>
      </w:r>
    </w:p>
    <w:p>
      <w:pPr>
        <w:pStyle w:val="Compact"/>
        <w:numPr>
          <w:ilvl w:val="0"/>
          <w:numId w:val="1005"/>
        </w:numPr>
      </w:pPr>
      <w:r>
        <w:t xml:space="preserve">☐ Simeon: review OpenPointGlide website (link to be sent)</w:t>
      </w:r>
    </w:p>
    <w:p>
      <w:pPr>
        <w:pStyle w:val="Compact"/>
        <w:numPr>
          <w:ilvl w:val="0"/>
          <w:numId w:val="1005"/>
        </w:numPr>
      </w:pPr>
      <w:r>
        <w:t xml:space="preserve">☐ Set up Puerto Rico SHPO intro via Morrell</w:t>
      </w:r>
    </w:p>
    <w:p>
      <w:pPr>
        <w:pStyle w:val="Compact"/>
        <w:numPr>
          <w:ilvl w:val="0"/>
          <w:numId w:val="1005"/>
        </w:numPr>
      </w:pPr>
      <w:r>
        <w:t xml:space="preserve">☐ NPS: share modification template document with Simeon</w:t>
      </w:r>
    </w:p>
    <w:p>
      <w:pPr>
        <w:pStyle w:val="Compact"/>
        <w:numPr>
          <w:ilvl w:val="0"/>
          <w:numId w:val="1005"/>
        </w:numPr>
      </w:pPr>
      <w:r>
        <w:t xml:space="preserve">☐ NPS: internal meeting next week — follow up re: mod approval and final amount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2026-05-01T15:27:05Z</dcterms:created>
  <dcterms:modified xsi:type="dcterms:W3CDTF">2026-05-01T15:27:05Z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