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18.png" ContentType="image/png"/>
  <Override PartName="/word/media/rId23.png" ContentType="image/png"/>
  <Override PartName="/word/media/rId46.png" ContentType="image/png"/>
  <Override PartName="/word/media/rId50.png" ContentType="image/png"/>
  <Override PartName="/word/media/rId77.png" ContentType="image/png"/>
  <Override PartName="/word/media/rId85.png" ContentType="image/png"/>
  <Override PartName="/word/media/rId67.png" ContentType="image/png"/>
  <Override PartName="/word/media/rId27.png" ContentType="image/png"/>
  <Override PartName="/word/media/rId81.png" ContentType="image/png"/>
  <Override PartName="/word/media/rId42.png" ContentType="image/png"/>
  <Override PartName="/word/media/rId71.png" ContentType="image/png"/>
  <Override PartName="/word/media/rId9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13"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bookmarkStart w:id="9" w:name="ref-1"/>
      <w:hyperlink w:anchor="endnote-1">
        <w:r>
          <w:rPr>
            <w:rStyle w:val="Hyperlink"/>
          </w:rPr>
          <w:t xml:space="preserve">1</w:t>
        </w:r>
      </w:hyperlink>
      <w:bookmarkEnd w:id="9"/>
      <w:r>
        <w:t xml:space="preserve"> What has changed is scale and accessibility.</w:t>
      </w:r>
      <w:r>
        <w:t xml:space="preserve"> </w:t>
      </w:r>
      <w:r>
        <w:t xml:space="preserve">Modern machine learning algorithms process datasets impossible to handle twenty years ago;</w:t>
      </w:r>
      <w:bookmarkStart w:id="10" w:name="ref-2"/>
      <w:hyperlink w:anchor="endnote-2">
        <w:r>
          <w:rPr>
            <w:rStyle w:val="Hyperlink"/>
          </w:rPr>
          <w:t xml:space="preserve">2</w:t>
        </w:r>
      </w:hyperlink>
      <w:bookmarkEnd w:id="10"/>
      <w:r>
        <w:t xml:space="preserve"> cloud-based platforms like Google Colab</w:t>
      </w:r>
      <w:bookmarkStart w:id="11" w:name="ref-3"/>
      <w:hyperlink w:anchor="endnote-3">
        <w:r>
          <w:rPr>
            <w:rStyle w:val="Hyperlink"/>
          </w:rPr>
          <w:t xml:space="preserve">3</w:t>
        </w:r>
      </w:hyperlink>
      <w:bookmarkEnd w:id="11"/>
      <w:r>
        <w:t xml:space="preserve"> </w:t>
      </w:r>
      <w:r>
        <w:t xml:space="preserve">eliminate the need for specialized software or expensive infrastructure; most important, we can now make these tools accessible to practitioners who have never written code.</w:t>
      </w:r>
      <w:bookmarkStart w:id="12" w:name="ref-4"/>
      <w:hyperlink w:anchor="endnote-4">
        <w:r>
          <w:rPr>
            <w:rStyle w:val="Hyperlink"/>
          </w:rPr>
          <w:t xml:space="preserve">4</w:t>
        </w:r>
      </w:hyperlink>
      <w:bookmarkEnd w:id="12"/>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13"/>
    <w:bookmarkStart w:id="36"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22"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bookmarkStart w:id="14" w:name="ref-5"/>
      <w:hyperlink w:anchor="endnote-5">
        <w:r>
          <w:rPr>
            <w:rStyle w:val="Hyperlink"/>
          </w:rPr>
          <w:t xml:space="preserve">5</w:t>
        </w:r>
      </w:hyperlink>
      <w:bookmarkEnd w:id="14"/>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bookmarkStart w:id="15" w:name="ref-6"/>
      <w:hyperlink w:anchor="endnote-6">
        <w:r>
          <w:rPr>
            <w:rStyle w:val="Hyperlink"/>
          </w:rPr>
          <w:t xml:space="preserve">6</w:t>
        </w:r>
      </w:hyperlink>
      <w:bookmarkEnd w:id="15"/>
      <w:r>
        <w:t xml:space="preserve"> For Random Forest models, 30 observations is the absolute minimum, but 100+ observations yield more reliable importance rankings.</w:t>
      </w:r>
      <w:bookmarkStart w:id="16" w:name="ref-7"/>
      <w:hyperlink w:anchor="endnote-7">
        <w:r>
          <w:rPr>
            <w:rStyle w:val="Hyperlink"/>
          </w:rPr>
          <w:t xml:space="preserve">7</w:t>
        </w:r>
      </w:hyperlink>
      <w:bookmarkEnd w:id="16"/>
      <w:r>
        <w:t xml:space="preserve"> With smaller samples, results become unstable and may not replicate.</w:t>
      </w:r>
      <w:bookmarkStart w:id="17" w:name="ref-8"/>
      <w:hyperlink w:anchor="endnote-8">
        <w:r>
          <w:rPr>
            <w:rStyle w:val="Hyperlink"/>
          </w:rPr>
          <w:t xml:space="preserve">8</w:t>
        </w:r>
      </w:hyperlink>
      <w:bookmarkEnd w:id="17"/>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21" w:name="fig:condition_dist"/>
    <w:p>
      <w:pPr>
        <w:pStyle w:val="CaptionedFigure"/>
      </w:pPr>
      <w:r>
        <w:drawing>
          <wp:inline>
            <wp:extent cx="4267200" cy="2635730"/>
            <wp:effectExtent b="0" l="0" r="0" t="0"/>
            <wp:docPr descr="" title="" id="19" name="Picture"/>
            <a:graphic>
              <a:graphicData uri="http://schemas.openxmlformats.org/drawingml/2006/picture">
                <pic:pic>
                  <pic:nvPicPr>
                    <pic:cNvPr descr="figures/condition_distribution.png" id="20" name="Picture"/>
                    <pic:cNvPicPr>
                      <a:picLocks noChangeArrowheads="1" noChangeAspect="1"/>
                    </pic:cNvPicPr>
                  </pic:nvPicPr>
                  <pic:blipFill>
                    <a:blip r:embed="rId18"/>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21"/>
    <w:bookmarkEnd w:id="22"/>
    <w:bookmarkStart w:id="35"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26" w:name="fig:correlation"/>
    <w:p>
      <w:pPr>
        <w:pStyle w:val="CaptionedFigure"/>
      </w:pPr>
      <w:r>
        <w:drawing>
          <wp:inline>
            <wp:extent cx="4800600" cy="4197502"/>
            <wp:effectExtent b="0" l="0" r="0" t="0"/>
            <wp:docPr descr="" title="" id="24" name="Picture"/>
            <a:graphic>
              <a:graphicData uri="http://schemas.openxmlformats.org/drawingml/2006/picture">
                <pic:pic>
                  <pic:nvPicPr>
                    <pic:cNvPr descr="figures/correlation_heatmap.png" id="25" name="Picture"/>
                    <pic:cNvPicPr>
                      <a:picLocks noChangeArrowheads="1" noChangeAspect="1"/>
                    </pic:cNvPicPr>
                  </pic:nvPicPr>
                  <pic:blipFill>
                    <a:blip r:embed="rId23"/>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26"/>
    <w:bookmarkStart w:id="30" w:name="fig:pairplot"/>
    <w:p>
      <w:pPr>
        <w:pStyle w:val="CaptionedFigure"/>
      </w:pPr>
      <w:r>
        <w:drawing>
          <wp:inline>
            <wp:extent cx="4533900" cy="3669284"/>
            <wp:effectExtent b="0" l="0" r="0" t="0"/>
            <wp:docPr descr="" title="" id="28" name="Picture"/>
            <a:graphic>
              <a:graphicData uri="http://schemas.openxmlformats.org/drawingml/2006/picture">
                <pic:pic>
                  <pic:nvPicPr>
                    <pic:cNvPr descr="figures/pairplot.png" id="29" name="Picture"/>
                    <pic:cNvPicPr>
                      <a:picLocks noChangeArrowheads="1" noChangeAspect="1"/>
                    </pic:cNvPicPr>
                  </pic:nvPicPr>
                  <pic:blipFill>
                    <a:blip r:embed="rId27"/>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30"/>
    <w:bookmarkStart w:id="34" w:name="fig:vif"/>
    <w:p>
      <w:pPr>
        <w:pStyle w:val="CaptionedFigure"/>
      </w:pPr>
      <w:r>
        <w:drawing>
          <wp:inline>
            <wp:extent cx="4267200" cy="2551981"/>
            <wp:effectExtent b="0" l="0" r="0" t="0"/>
            <wp:docPr descr="" title="" id="32" name="Picture"/>
            <a:graphic>
              <a:graphicData uri="http://schemas.openxmlformats.org/drawingml/2006/picture">
                <pic:pic>
                  <pic:nvPicPr>
                    <pic:cNvPr descr="figures/vif_multicollinearity.png" id="33" name="Picture"/>
                    <pic:cNvPicPr>
                      <a:picLocks noChangeArrowheads="1" noChangeAspect="1"/>
                    </pic:cNvPicPr>
                  </pic:nvPicPr>
                  <pic:blipFill>
                    <a:blip r:embed="rId31"/>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34"/>
    <w:bookmarkEnd w:id="35"/>
    <w:bookmarkEnd w:id="36"/>
    <w:bookmarkStart w:id="94"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56" w:name="factor-analysis"/>
    <w:p>
      <w:pPr>
        <w:pStyle w:val="Heading2"/>
      </w:pPr>
      <w:r>
        <w:t xml:space="preserve">Factor Analysis</w:t>
      </w:r>
    </w:p>
    <w:bookmarkStart w:id="3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bookmarkStart w:id="37" w:name="ref-9"/>
      <w:hyperlink w:anchor="endnote-9">
        <w:r>
          <w:rPr>
            <w:rStyle w:val="Hyperlink"/>
          </w:rPr>
          <w:t xml:space="preserve">9</w:t>
        </w:r>
      </w:hyperlink>
      <w:bookmarkEnd w:id="37"/>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bookmarkStart w:id="38" w:name="ref-10"/>
      <w:hyperlink w:anchor="endnote-10">
        <w:r>
          <w:rPr>
            <w:rStyle w:val="Hyperlink"/>
          </w:rPr>
          <w:t xml:space="preserve">10</w:t>
        </w:r>
      </w:hyperlink>
      <w:bookmarkEnd w:id="38"/>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39"/>
    <w:bookmarkStart w:id="4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40"/>
    <w:bookmarkStart w:id="54" w:name="the-process"/>
    <w:p>
      <w:pPr>
        <w:pStyle w:val="Heading3"/>
      </w:pPr>
      <w:r>
        <w:t xml:space="preserve">The Process</w:t>
      </w:r>
    </w:p>
    <w:p>
      <w:pPr>
        <w:pStyle w:val="FirstParagraph"/>
      </w:pPr>
      <w:r>
        <w:t xml:space="preserve">Factor analysis proceeds through several steps.</w:t>
      </w:r>
      <w:bookmarkStart w:id="41" w:name="ref-11"/>
      <w:hyperlink w:anchor="endnote-11">
        <w:r>
          <w:rPr>
            <w:rStyle w:val="Hyperlink"/>
          </w:rPr>
          <w:t xml:space="preserve">11</w:t>
        </w:r>
      </w:hyperlink>
      <w:bookmarkEnd w:id="41"/>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45" w:name="fig:scree"/>
    <w:p>
      <w:pPr>
        <w:pStyle w:val="CaptionedFigure"/>
      </w:pPr>
      <w:r>
        <w:drawing>
          <wp:inline>
            <wp:extent cx="3733800" cy="2529640"/>
            <wp:effectExtent b="0" l="0" r="0" t="0"/>
            <wp:docPr descr="" title="" id="43" name="Picture"/>
            <a:graphic>
              <a:graphicData uri="http://schemas.openxmlformats.org/drawingml/2006/picture">
                <pic:pic>
                  <pic:nvPicPr>
                    <pic:cNvPr descr="figures/scree_plot.png" id="44" name="Picture"/>
                    <pic:cNvPicPr>
                      <a:picLocks noChangeArrowheads="1" noChangeAspect="1"/>
                    </pic:cNvPicPr>
                  </pic:nvPicPr>
                  <pic:blipFill>
                    <a:blip r:embed="rId42"/>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45"/>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49" w:name="fig:loadings"/>
    <w:p>
      <w:pPr>
        <w:pStyle w:val="CaptionedFigure"/>
      </w:pPr>
      <w:r>
        <w:drawing>
          <wp:inline>
            <wp:extent cx="4800600" cy="3606650"/>
            <wp:effectExtent b="0" l="0" r="0" t="0"/>
            <wp:docPr descr="" title="" id="47" name="Picture"/>
            <a:graphic>
              <a:graphicData uri="http://schemas.openxmlformats.org/drawingml/2006/picture">
                <pic:pic>
                  <pic:nvPicPr>
                    <pic:cNvPr descr="figures/factor_loadings.png" id="48" name="Picture"/>
                    <pic:cNvPicPr>
                      <a:picLocks noChangeArrowheads="1" noChangeAspect="1"/>
                    </pic:cNvPicPr>
                  </pic:nvPicPr>
                  <pic:blipFill>
                    <a:blip r:embed="rId46"/>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49"/>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53" w:name="fig:factor_scores"/>
    <w:p>
      <w:pPr>
        <w:pStyle w:val="CaptionedFigure"/>
      </w:pPr>
      <w:r>
        <w:drawing>
          <wp:inline>
            <wp:extent cx="4000500" cy="3272036"/>
            <wp:effectExtent b="0" l="0" r="0" t="0"/>
            <wp:docPr descr="" title="" id="51" name="Picture"/>
            <a:graphic>
              <a:graphicData uri="http://schemas.openxmlformats.org/drawingml/2006/picture">
                <pic:pic>
                  <pic:nvPicPr>
                    <pic:cNvPr descr="figures/factor_scores_scatter.png" id="52" name="Picture"/>
                    <pic:cNvPicPr>
                      <a:picLocks noChangeArrowheads="1" noChangeAspect="1"/>
                    </pic:cNvPicPr>
                  </pic:nvPicPr>
                  <pic:blipFill>
                    <a:blip r:embed="rId50"/>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53"/>
    <w:bookmarkEnd w:id="54"/>
    <w:bookmarkStart w:id="55"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55"/>
    <w:bookmarkEnd w:id="56"/>
    <w:bookmarkStart w:id="93" w:name="feature-importance"/>
    <w:p>
      <w:pPr>
        <w:pStyle w:val="Heading2"/>
      </w:pPr>
      <w:r>
        <w:t xml:space="preserve">Feature Importance</w:t>
      </w:r>
    </w:p>
    <w:bookmarkStart w:id="63"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bookmarkStart w:id="57" w:name="ref-12"/>
      <w:hyperlink w:anchor="endnote-12">
        <w:r>
          <w:rPr>
            <w:rStyle w:val="Hyperlink"/>
          </w:rPr>
          <w:t xml:space="preserve">12</w:t>
        </w:r>
      </w:hyperlink>
      <w:bookmarkEnd w:id="57"/>
      <w:r>
        <w:t xml:space="preserve"> </w:t>
      </w:r>
      <w:r>
        <w:t xml:space="preserve">(deterioration severity, maintenance costs, intervention timing). The technique trains machine learning models (in this case Random Forest</w:t>
      </w:r>
      <w:bookmarkStart w:id="58" w:name="ref-13"/>
      <w:hyperlink w:anchor="endnote-13">
        <w:r>
          <w:rPr>
            <w:rStyle w:val="Hyperlink"/>
          </w:rPr>
          <w:t xml:space="preserve">13</w:t>
        </w:r>
      </w:hyperlink>
      <w:bookmarkEnd w:id="58"/>
      <w:r>
        <w:t xml:space="preserve"> </w:t>
      </w:r>
      <w:r>
        <w:t xml:space="preserve">or Gradient Boosting)</w:t>
      </w:r>
      <w:bookmarkStart w:id="59" w:name="ref-14"/>
      <w:hyperlink w:anchor="endnote-14">
        <w:r>
          <w:rPr>
            <w:rStyle w:val="Hyperlink"/>
          </w:rPr>
          <w:t xml:space="preserve">14</w:t>
        </w:r>
      </w:hyperlink>
      <w:bookmarkEnd w:id="59"/>
      <w:r>
        <w:t xml:space="preserve"> to learn relationships between input variables and target outcomes.</w:t>
      </w:r>
      <w:r>
        <w:t xml:space="preserve"> </w:t>
      </w:r>
      <w:r>
        <w:t xml:space="preserve">These ensemble methods construct multiple decision trees and aggregate results to determine which parameters matter most.</w:t>
      </w:r>
      <w:bookmarkStart w:id="60" w:name="ref-15"/>
      <w:hyperlink w:anchor="endnote-15">
        <w:r>
          <w:rPr>
            <w:rStyle w:val="Hyperlink"/>
          </w:rPr>
          <w:t xml:space="preserve">15</w:t>
        </w:r>
      </w:hyperlink>
      <w:bookmarkEnd w:id="60"/>
      <w:r>
        <w:t xml:space="preserve"> Unlike simpler statistical approaches, these models automatically capture variable interactions.</w:t>
      </w:r>
      <w:bookmarkStart w:id="61" w:name="ref-16"/>
      <w:hyperlink w:anchor="endnote-16">
        <w:r>
          <w:rPr>
            <w:rStyle w:val="Hyperlink"/>
          </w:rPr>
          <w:t xml:space="preserve">16</w:t>
        </w:r>
      </w:hyperlink>
      <w:bookmarkEnd w:id="61"/>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bookmarkStart w:id="62" w:name="ref-17"/>
      <w:hyperlink w:anchor="endnote-17">
        <w:r>
          <w:rPr>
            <w:rStyle w:val="Hyperlink"/>
          </w:rPr>
          <w:t xml:space="preserve">17</w:t>
        </w:r>
      </w:hyperlink>
      <w:bookmarkEnd w:id="62"/>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63"/>
    <w:bookmarkStart w:id="66"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bookmarkStart w:id="64" w:name="ref-18"/>
      <w:hyperlink w:anchor="endnote-18">
        <w:r>
          <w:rPr>
            <w:rStyle w:val="Hyperlink"/>
          </w:rPr>
          <w:t xml:space="preserve">18</w:t>
        </w:r>
      </w:hyperlink>
      <w:bookmarkEnd w:id="64"/>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bookmarkStart w:id="65" w:name="ref-19"/>
      <w:hyperlink w:anchor="endnote-19">
        <w:r>
          <w:rPr>
            <w:rStyle w:val="Hyperlink"/>
          </w:rPr>
          <w:t xml:space="preserve">19</w:t>
        </w:r>
      </w:hyperlink>
      <w:bookmarkEnd w:id="65"/>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66"/>
    <w:bookmarkStart w:id="89"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70" w:name="fig:regression"/>
    <w:p>
      <w:pPr>
        <w:pStyle w:val="CaptionedFigure"/>
      </w:pPr>
      <w:r>
        <w:drawing>
          <wp:inline>
            <wp:extent cx="3733800" cy="2230222"/>
            <wp:effectExtent b="0" l="0" r="0" t="0"/>
            <wp:docPr descr="" title="" id="68" name="Picture"/>
            <a:graphic>
              <a:graphicData uri="http://schemas.openxmlformats.org/drawingml/2006/picture">
                <pic:pic>
                  <pic:nvPicPr>
                    <pic:cNvPr descr="figures/multiple_regression.png" id="69" name="Picture"/>
                    <pic:cNvPicPr>
                      <a:picLocks noChangeArrowheads="1" noChangeAspect="1"/>
                    </pic:cNvPicPr>
                  </pic:nvPicPr>
                  <pic:blipFill>
                    <a:blip r:embed="rId67"/>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70"/>
    <w:bookmarkStart w:id="74" w:name="fig:simple_regression"/>
    <w:p>
      <w:pPr>
        <w:pStyle w:val="CaptionedFigure"/>
      </w:pPr>
      <w:r>
        <w:drawing>
          <wp:inline>
            <wp:extent cx="3467100" cy="2236396"/>
            <wp:effectExtent b="0" l="0" r="0" t="0"/>
            <wp:docPr descr="" title="" id="72" name="Picture"/>
            <a:graphic>
              <a:graphicData uri="http://schemas.openxmlformats.org/drawingml/2006/picture">
                <pic:pic>
                  <pic:nvPicPr>
                    <pic:cNvPr descr="figures/simple_regression.png" id="73" name="Picture"/>
                    <pic:cNvPicPr>
                      <a:picLocks noChangeArrowheads="1" noChangeAspect="1"/>
                    </pic:cNvPicPr>
                  </pic:nvPicPr>
                  <pic:blipFill>
                    <a:blip r:embed="rId71"/>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74"/>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bookmarkStart w:id="75" w:name="ref-20"/>
      <w:hyperlink w:anchor="endnote-20">
        <w:r>
          <w:rPr>
            <w:rStyle w:val="Hyperlink"/>
          </w:rPr>
          <w:t xml:space="preserve">20</w:t>
        </w:r>
      </w:hyperlink>
      <w:bookmarkEnd w:id="75"/>
      <w:r>
        <w:t xml:space="preserve"> Finally, feature importance is computed by measuring the performance loss occurred when a specific variable is removed (permutation importance).</w:t>
      </w:r>
      <w:bookmarkStart w:id="76" w:name="ref-21"/>
      <w:hyperlink w:anchor="endnote-21">
        <w:r>
          <w:rPr>
            <w:rStyle w:val="Hyperlink"/>
          </w:rPr>
          <w:t xml:space="preserve">21</w:t>
        </w:r>
      </w:hyperlink>
      <w:bookmarkEnd w:id="76"/>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80" w:name="fig:importance"/>
    <w:p>
      <w:pPr>
        <w:pStyle w:val="CaptionedFigure"/>
      </w:pPr>
      <w:r>
        <w:drawing>
          <wp:inline>
            <wp:extent cx="4267200" cy="2539350"/>
            <wp:effectExtent b="0" l="0" r="0" t="0"/>
            <wp:docPr descr="" title="" id="78" name="Picture"/>
            <a:graphic>
              <a:graphicData uri="http://schemas.openxmlformats.org/drawingml/2006/picture">
                <pic:pic>
                  <pic:nvPicPr>
                    <pic:cNvPr descr="figures/feature_importance.png" id="79" name="Picture"/>
                    <pic:cNvPicPr>
                      <a:picLocks noChangeArrowheads="1" noChangeAspect="1"/>
                    </pic:cNvPicPr>
                  </pic:nvPicPr>
                  <pic:blipFill>
                    <a:blip r:embed="rId77"/>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80"/>
    <w:bookmarkStart w:id="84" w:name="fig:permutation"/>
    <w:p>
      <w:pPr>
        <w:pStyle w:val="CaptionedFigure"/>
      </w:pPr>
      <w:r>
        <w:drawing>
          <wp:inline>
            <wp:extent cx="4267200" cy="2642457"/>
            <wp:effectExtent b="0" l="0" r="0" t="0"/>
            <wp:docPr descr="" title="" id="82" name="Picture"/>
            <a:graphic>
              <a:graphicData uri="http://schemas.openxmlformats.org/drawingml/2006/picture">
                <pic:pic>
                  <pic:nvPicPr>
                    <pic:cNvPr descr="figures/permutation_importance.png" id="83" name="Picture"/>
                    <pic:cNvPicPr>
                      <a:picLocks noChangeArrowheads="1" noChangeAspect="1"/>
                    </pic:cNvPicPr>
                  </pic:nvPicPr>
                  <pic:blipFill>
                    <a:blip r:embed="rId81"/>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84"/>
    <w:bookmarkStart w:id="88" w:name="fig:model_comp"/>
    <w:p>
      <w:pPr>
        <w:pStyle w:val="CaptionedFigure"/>
      </w:pPr>
      <w:r>
        <w:drawing>
          <wp:inline>
            <wp:extent cx="4267200" cy="2894490"/>
            <wp:effectExtent b="0" l="0" r="0" t="0"/>
            <wp:docPr descr="" title="" id="86" name="Picture"/>
            <a:graphic>
              <a:graphicData uri="http://schemas.openxmlformats.org/drawingml/2006/picture">
                <pic:pic>
                  <pic:nvPicPr>
                    <pic:cNvPr descr="figures/model_comparison.png" id="87" name="Picture"/>
                    <pic:cNvPicPr>
                      <a:picLocks noChangeArrowheads="1" noChangeAspect="1"/>
                    </pic:cNvPicPr>
                  </pic:nvPicPr>
                  <pic:blipFill>
                    <a:blip r:embed="rId85"/>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88"/>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89"/>
    <w:bookmarkStart w:id="90"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90"/>
    <w:bookmarkStart w:id="91"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91"/>
    <w:bookmarkStart w:id="92"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92"/>
    <w:bookmarkEnd w:id="93"/>
    <w:bookmarkEnd w:id="94"/>
    <w:bookmarkStart w:id="104"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103"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98" w:name="fig:material_boxplot"/>
    <w:p>
      <w:pPr>
        <w:pStyle w:val="CaptionedFigure"/>
      </w:pPr>
      <w:r>
        <w:drawing>
          <wp:inline>
            <wp:extent cx="3733800" cy="2991394"/>
            <wp:effectExtent b="0" l="0" r="0" t="0"/>
            <wp:docPr descr="" title="" id="96" name="Picture"/>
            <a:graphic>
              <a:graphicData uri="http://schemas.openxmlformats.org/drawingml/2006/picture">
                <pic:pic>
                  <pic:nvPicPr>
                    <pic:cNvPr descr="figures/boxplot_condition_by_material.png" id="97" name="Picture"/>
                    <pic:cNvPicPr>
                      <a:picLocks noChangeArrowheads="1" noChangeAspect="1"/>
                    </pic:cNvPicPr>
                  </pic:nvPicPr>
                  <pic:blipFill>
                    <a:blip r:embed="rId95"/>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98"/>
    <w:bookmarkStart w:id="102" w:name="fig:spatial"/>
    <w:p>
      <w:pPr>
        <w:pStyle w:val="CaptionedFigure"/>
      </w:pPr>
      <w:r>
        <w:drawing>
          <wp:inline>
            <wp:extent cx="4000500" cy="3184166"/>
            <wp:effectExtent b="0" l="0" r="0" t="0"/>
            <wp:docPr descr="" title="" id="100" name="Picture"/>
            <a:graphic>
              <a:graphicData uri="http://schemas.openxmlformats.org/drawingml/2006/picture">
                <pic:pic>
                  <pic:nvPicPr>
                    <pic:cNvPr descr="figures/spatial_map.png" id="101" name="Picture"/>
                    <pic:cNvPicPr>
                      <a:picLocks noChangeArrowheads="1" noChangeAspect="1"/>
                    </pic:cNvPicPr>
                  </pic:nvPicPr>
                  <pic:blipFill>
                    <a:blip r:embed="rId99"/>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102"/>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103"/>
    <w:bookmarkEnd w:id="104"/>
    <w:bookmarkStart w:id="105"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105"/>
    <w:bookmarkStart w:id="159" w:name="interactive-tutorials"/>
    <w:p>
      <w:pPr>
        <w:pStyle w:val="Heading1"/>
      </w:pPr>
      <w:r>
        <w:t xml:space="preserve">Interactive Tutorials</w:t>
      </w:r>
    </w:p>
    <w:p>
      <w:pPr>
        <w:pStyle w:val="FirstParagraph"/>
      </w:pPr>
      <w:r>
        <w:t xml:space="preserve">Five Google Colab notebooks provide hands-on training for practitioners with no programming experience; start with Notebook 00 and work through sequentially.</w:t>
      </w:r>
    </w:p>
    <w:p>
      <w:pPr>
        <w:pStyle w:val="BodyText"/>
      </w:pPr>
      <w:r>
        <w:rPr>
          <w:b/>
          <w:bCs/>
        </w:rPr>
        <w:t xml:space="preserve">Data Preparation</w:t>
      </w:r>
      <w:r>
        <w:t xml:space="preserve"> </w:t>
      </w:r>
      <w:r>
        <w:t xml:space="preserve">(</w:t>
      </w:r>
      <w:r>
        <w:rPr>
          <w:rStyle w:val="VerbatimChar"/>
        </w:rPr>
        <w:t xml:space="preserve">00_data_preparation.ipynb</w:t>
      </w:r>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r>
        <w:rPr>
          <w:rStyle w:val="VerbatimChar"/>
        </w:rPr>
        <w:t xml:space="preserve">01_simple_statistics.ipynb</w:t>
      </w:r>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r>
        <w:rPr>
          <w:rStyle w:val="VerbatimChar"/>
        </w:rPr>
        <w:t xml:space="preserve">02_factor_analysis.ipynb</w:t>
      </w:r>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r>
        <w:rPr>
          <w:rStyle w:val="VerbatimChar"/>
        </w:rPr>
        <w:t xml:space="preserve">03_feature_importance.ipynb</w:t>
      </w:r>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r>
        <w:rPr>
          <w:rStyle w:val="VerbatimChar"/>
        </w:rPr>
        <w:t xml:space="preserve">04_visualization.ipynb</w:t>
      </w:r>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Start w:id="158" w:name="refs"/>
    <w:bookmarkStart w:id="107" w:name="ref-basu2018"/>
    <w:p>
      <w:pPr>
        <w:pStyle w:val="Bibliography"/>
      </w:pPr>
      <w:r>
        <w:t xml:space="preserve">Basu, Sumanta, Karl Kumbier, James B. Brown, and Bin Yu.</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06">
        <w:r>
          <w:rPr>
            <w:rStyle w:val="Hyperlink"/>
          </w:rPr>
          <w:t xml:space="preserve">https://doi.org/10.1073/pnas.1711236115</w:t>
        </w:r>
      </w:hyperlink>
      <w:r>
        <w:t xml:space="preserve">.</w:t>
      </w:r>
    </w:p>
    <w:bookmarkEnd w:id="107"/>
    <w:bookmarkStart w:id="109" w:name="ref-bhagat2025"/>
    <w:p>
      <w:pPr>
        <w:pStyle w:val="Bibliography"/>
      </w:pPr>
      <w:r>
        <w:t xml:space="preserve">Bhagat, Meenu,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08">
        <w:r>
          <w:rPr>
            <w:rStyle w:val="Hyperlink"/>
          </w:rPr>
          <w:t xml:space="preserve">https://doi.org/10.1234/ijsat.2025.01.1305</w:t>
        </w:r>
      </w:hyperlink>
      <w:r>
        <w:t xml:space="preserve">.</w:t>
      </w:r>
    </w:p>
    <w:bookmarkEnd w:id="109"/>
    <w:bookmarkStart w:id="111" w:name="ref-breiman2001"/>
    <w:p>
      <w:pPr>
        <w:pStyle w:val="Bibliography"/>
      </w:pPr>
      <w:r>
        <w:t xml:space="preserve">Breiman, Leo.</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10">
        <w:r>
          <w:rPr>
            <w:rStyle w:val="Hyperlink"/>
          </w:rPr>
          <w:t xml:space="preserve">https://doi.org/10.1023/A:1010933404324</w:t>
        </w:r>
      </w:hyperlink>
      <w:r>
        <w:t xml:space="preserve">.</w:t>
      </w:r>
    </w:p>
    <w:bookmarkEnd w:id="111"/>
    <w:bookmarkStart w:id="113" w:name="ref-calle2010"/>
    <w:p>
      <w:pPr>
        <w:pStyle w:val="Bibliography"/>
      </w:pPr>
      <w:r>
        <w:t xml:space="preserve">Calle, M. Luz,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 https://doi.org/</w:t>
      </w:r>
      <w:hyperlink r:id="rId112">
        <w:r>
          <w:rPr>
            <w:rStyle w:val="Hyperlink"/>
          </w:rPr>
          <w:t xml:space="preserve">https://doi.org/10.1093/bib/bbq011</w:t>
        </w:r>
      </w:hyperlink>
      <w:r>
        <w:t xml:space="preserve">.</w:t>
      </w:r>
    </w:p>
    <w:bookmarkEnd w:id="113"/>
    <w:bookmarkStart w:id="115" w:name="ref-ewald2024"/>
    <w:p>
      <w:pPr>
        <w:pStyle w:val="Bibliography"/>
      </w:pPr>
      <w:r>
        <w:t xml:space="preserve">Ewald, Fiona K., Ludwig Bothmann, Marvin N. Wright, Bernd Bischl, and Giuseppe Casalicchio.</w:t>
      </w:r>
      <w:r>
        <w:t xml:space="preserve"> </w:t>
      </w:r>
      <w:r>
        <w:rPr>
          <w:i/>
          <w:iCs/>
        </w:rPr>
        <w:t xml:space="preserve">A Guide to Feature Importance Methods for Scientific Inference</w:t>
      </w:r>
      <w:r>
        <w:t xml:space="preserve">. arXiv preprint arXiv:2404.12862, 2024.</w:t>
      </w:r>
      <w:r>
        <w:t xml:space="preserve"> </w:t>
      </w:r>
      <w:hyperlink r:id="rId114">
        <w:r>
          <w:rPr>
            <w:rStyle w:val="Hyperlink"/>
          </w:rPr>
          <w:t xml:space="preserve">https://arxiv.org/abs/2404.12862</w:t>
        </w:r>
      </w:hyperlink>
      <w:r>
        <w:t xml:space="preserve">.</w:t>
      </w:r>
    </w:p>
    <w:bookmarkEnd w:id="115"/>
    <w:bookmarkStart w:id="117" w:name="ref-fodor2002"/>
    <w:p>
      <w:pPr>
        <w:pStyle w:val="Bibliography"/>
      </w:pPr>
      <w:r>
        <w:t xml:space="preserve">Fodor, Imola K.</w:t>
      </w:r>
      <w:r>
        <w:t xml:space="preserve"> </w:t>
      </w:r>
      <w:r>
        <w:rPr>
          <w:i/>
          <w:iCs/>
        </w:rPr>
        <w:t xml:space="preserve">A Survey of Dimension Reduction Techniques</w:t>
      </w:r>
      <w:r>
        <w:t xml:space="preserve">. Lawrence Livermore National Laboratory, 2002.</w:t>
      </w:r>
      <w:r>
        <w:t xml:space="preserve"> </w:t>
      </w:r>
      <w:hyperlink r:id="rId116">
        <w:r>
          <w:rPr>
            <w:rStyle w:val="Hyperlink"/>
          </w:rPr>
          <w:t xml:space="preserve">https://computing.llnl.gov/sites/default/files/148494.pdf</w:t>
        </w:r>
      </w:hyperlink>
      <w:r>
        <w:t xml:space="preserve">.</w:t>
      </w:r>
    </w:p>
    <w:bookmarkEnd w:id="117"/>
    <w:bookmarkStart w:id="119" w:name="ref-friedman2001"/>
    <w:p>
      <w:pPr>
        <w:pStyle w:val="Bibliography"/>
      </w:pPr>
      <w:r>
        <w:t xml:space="preserve">Friedman, Jerome H.</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18">
        <w:r>
          <w:rPr>
            <w:rStyle w:val="Hyperlink"/>
          </w:rPr>
          <w:t xml:space="preserve">https://doi.org/10.1214/aos/1013203451</w:t>
        </w:r>
      </w:hyperlink>
      <w:r>
        <w:t xml:space="preserve">.</w:t>
      </w:r>
    </w:p>
    <w:bookmarkEnd w:id="119"/>
    <w:bookmarkStart w:id="121" w:name="ref-frost2023"/>
    <w:p>
      <w:pPr>
        <w:pStyle w:val="Bibliography"/>
      </w:pPr>
      <w:r>
        <w:t xml:space="preserve">Frost, Jim.</w:t>
      </w:r>
      <w:r>
        <w:t xml:space="preserve"> </w:t>
      </w:r>
      <w:r>
        <w:rPr>
          <w:i/>
          <w:iCs/>
        </w:rPr>
        <w:t xml:space="preserve">Correlation Vs Causation: Understanding the Differences</w:t>
      </w:r>
      <w:r>
        <w:t xml:space="preserve">. 2023.</w:t>
      </w:r>
      <w:r>
        <w:t xml:space="preserve"> </w:t>
      </w:r>
      <w:hyperlink r:id="rId120">
        <w:r>
          <w:rPr>
            <w:rStyle w:val="Hyperlink"/>
          </w:rPr>
          <w:t xml:space="preserve">https://statisticsbyjim.com/basics/correlation-vs-causation</w:t>
        </w:r>
      </w:hyperlink>
      <w:r>
        <w:t xml:space="preserve">.</w:t>
      </w:r>
    </w:p>
    <w:bookmarkEnd w:id="121"/>
    <w:bookmarkStart w:id="123" w:name="ref-googlecolab2025"/>
    <w:p>
      <w:pPr>
        <w:pStyle w:val="Bibliography"/>
      </w:pPr>
      <w:r>
        <w:t xml:space="preserve">Google.</w:t>
      </w:r>
      <w:r>
        <w:t xml:space="preserve"> </w:t>
      </w:r>
      <w:r>
        <w:rPr>
          <w:i/>
          <w:iCs/>
        </w:rPr>
        <w:t xml:space="preserve">Google Colaboratory</w:t>
      </w:r>
      <w:r>
        <w:t xml:space="preserve">. 2025.</w:t>
      </w:r>
      <w:r>
        <w:t xml:space="preserve"> </w:t>
      </w:r>
      <w:hyperlink r:id="rId122">
        <w:r>
          <w:rPr>
            <w:rStyle w:val="Hyperlink"/>
          </w:rPr>
          <w:t xml:space="preserve">https://colab.research.google.com</w:t>
        </w:r>
      </w:hyperlink>
      <w:r>
        <w:t xml:space="preserve">.</w:t>
      </w:r>
    </w:p>
    <w:bookmarkEnd w:id="123"/>
    <w:bookmarkStart w:id="125" w:name="ref-goretzko2021"/>
    <w:p>
      <w:pPr>
        <w:pStyle w:val="Bibliography"/>
      </w:pPr>
      <w:r>
        <w:t xml:space="preserve">Goretzko, David, Trang Thien Huong Pham, and Markus Bühner.</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24">
        <w:r>
          <w:rPr>
            <w:rStyle w:val="Hyperlink"/>
          </w:rPr>
          <w:t xml:space="preserve">https://doi.org/10.1007/s12144-019-00300-2</w:t>
        </w:r>
      </w:hyperlink>
      <w:r>
        <w:t xml:space="preserve">.</w:t>
      </w:r>
    </w:p>
    <w:bookmarkEnd w:id="125"/>
    <w:bookmarkStart w:id="127" w:name="ref-gracemartin2021"/>
    <w:p>
      <w:pPr>
        <w:pStyle w:val="Bibliography"/>
      </w:pPr>
      <w:r>
        <w:t xml:space="preserve">Grace‐Martin, Karen.</w:t>
      </w:r>
      <w:r>
        <w:t xml:space="preserve"> </w:t>
      </w:r>
      <w:r>
        <w:rPr>
          <w:i/>
          <w:iCs/>
        </w:rPr>
        <w:t xml:space="preserve">How Big of a Sample Size Do You Need for Factor Analysis?</w:t>
      </w:r>
      <w:r>
        <w:t xml:space="preserve"> 2021.</w:t>
      </w:r>
      <w:r>
        <w:t xml:space="preserve"> </w:t>
      </w:r>
      <w:hyperlink r:id="rId126">
        <w:r>
          <w:rPr>
            <w:rStyle w:val="Hyperlink"/>
          </w:rPr>
          <w:t xml:space="preserve">https://www.theanalysisfactor.com/sample-size-needed-for-factor-analysis</w:t>
        </w:r>
      </w:hyperlink>
      <w:r>
        <w:t xml:space="preserve">.</w:t>
      </w:r>
    </w:p>
    <w:bookmarkEnd w:id="127"/>
    <w:bookmarkStart w:id="129" w:name="ref-gulati"/>
    <w:p>
      <w:pPr>
        <w:pStyle w:val="Bibliography"/>
      </w:pPr>
      <w:r>
        <w:t xml:space="preserve">Gulati, Jayita.</w:t>
      </w:r>
      <w:r>
        <w:t xml:space="preserve"> </w:t>
      </w:r>
      <w:r>
        <w:rPr>
          <w:i/>
          <w:iCs/>
        </w:rPr>
        <w:t xml:space="preserve">Logistic Vs SVM Vs Random Forest: Which One Wins for Small Datasets?</w:t>
      </w:r>
      <w:r>
        <w:t xml:space="preserve"> 2025.</w:t>
      </w:r>
      <w:r>
        <w:t xml:space="preserve"> </w:t>
      </w:r>
      <w:hyperlink r:id="rId128">
        <w:r>
          <w:rPr>
            <w:rStyle w:val="Hyperlink"/>
          </w:rPr>
          <w:t xml:space="preserve">https://machinelearningmastery.com/logistic-vs-svm-vs-random-forest-which-one-wins-for-small-datasets/</w:t>
        </w:r>
      </w:hyperlink>
      <w:r>
        <w:t xml:space="preserve">.</w:t>
      </w:r>
    </w:p>
    <w:bookmarkEnd w:id="129"/>
    <w:bookmarkStart w:id="131" w:name="ref-KALLAS2025b"/>
    <w:p>
      <w:pPr>
        <w:pStyle w:val="Bibliography"/>
      </w:pPr>
      <w:r>
        <w:t xml:space="preserve">Kallas, Joe,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 https://doi.org/</w:t>
      </w:r>
      <w:hyperlink r:id="rId130">
        <w:r>
          <w:rPr>
            <w:rStyle w:val="Hyperlink"/>
          </w:rPr>
          <w:t xml:space="preserve">https://doi.org/10.1016/j.ijdrr.2025.105672</w:t>
        </w:r>
      </w:hyperlink>
      <w:r>
        <w:t xml:space="preserve">.</w:t>
      </w:r>
    </w:p>
    <w:bookmarkEnd w:id="131"/>
    <w:bookmarkStart w:id="133" w:name="ref-KALLAS2024"/>
    <w:p>
      <w:pPr>
        <w:pStyle w:val="Bibliography"/>
      </w:pPr>
      <w:r>
        <w:t xml:space="preserve">Kallas, Joe,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 https://doi.org/</w:t>
      </w:r>
      <w:hyperlink r:id="rId132">
        <w:r>
          <w:rPr>
            <w:rStyle w:val="Hyperlink"/>
          </w:rPr>
          <w:t xml:space="preserve">https://doi.org/10.1016/j.ijdrr.2024.104640</w:t>
        </w:r>
      </w:hyperlink>
      <w:r>
        <w:t xml:space="preserve">.</w:t>
      </w:r>
    </w:p>
    <w:bookmarkEnd w:id="133"/>
    <w:bookmarkStart w:id="135" w:name="ref-Kallas2025a"/>
    <w:p>
      <w:pPr>
        <w:pStyle w:val="Bibliography"/>
      </w:pPr>
      <w:r>
        <w:t xml:space="preserve">Kallas, Joe,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34">
        <w:r>
          <w:rPr>
            <w:rStyle w:val="Hyperlink"/>
          </w:rPr>
          <w:t xml:space="preserve">https://doi.org/10.1145/3744743</w:t>
        </w:r>
      </w:hyperlink>
      <w:r>
        <w:t xml:space="preserve">.</w:t>
      </w:r>
    </w:p>
    <w:bookmarkEnd w:id="135"/>
    <w:bookmarkStart w:id="137" w:name="ref-mikesell1986"/>
    <w:p>
      <w:pPr>
        <w:pStyle w:val="Bibliography"/>
      </w:pPr>
      <w:r>
        <w:t xml:space="preserve">Mikesell, Stephen D.</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136">
        <w:r>
          <w:rPr>
            <w:rStyle w:val="Hyperlink"/>
          </w:rPr>
          <w:t xml:space="preserve">https://doi.org/10.2307/3377500</w:t>
        </w:r>
      </w:hyperlink>
      <w:r>
        <w:t xml:space="preserve">.</w:t>
      </w:r>
    </w:p>
    <w:bookmarkEnd w:id="137"/>
    <w:bookmarkStart w:id="139" w:name="ref-palomares2024"/>
    <w:p>
      <w:pPr>
        <w:pStyle w:val="Bibliography"/>
      </w:pPr>
      <w:r>
        <w:t xml:space="preserve">Palomares Carrascosa, Iván.</w:t>
      </w:r>
      <w:r>
        <w:t xml:space="preserve"> </w:t>
      </w:r>
      <w:r>
        <w:rPr>
          <w:i/>
          <w:iCs/>
        </w:rPr>
        <w:t xml:space="preserve">Understanding Correlation and Causation</w:t>
      </w:r>
      <w:r>
        <w:t xml:space="preserve">. 2024.</w:t>
      </w:r>
      <w:r>
        <w:t xml:space="preserve"> </w:t>
      </w:r>
      <w:hyperlink r:id="rId138">
        <w:r>
          <w:rPr>
            <w:rStyle w:val="Hyperlink"/>
          </w:rPr>
          <w:t xml:space="preserve">https://www.statology.org/understanding-correlation-and-causation</w:t>
        </w:r>
      </w:hyperlink>
      <w:r>
        <w:t xml:space="preserve">.</w:t>
      </w:r>
    </w:p>
    <w:bookmarkEnd w:id="139"/>
    <w:bookmarkStart w:id="141" w:name="ref-pennstate2025"/>
    <w:p>
      <w:pPr>
        <w:pStyle w:val="Bibliography"/>
      </w:pPr>
      <w:r>
        <w:t xml:space="preserve">Penn State STAT 462.</w:t>
      </w:r>
      <w:r>
        <w:t xml:space="preserve"> </w:t>
      </w:r>
      <w:r>
        <w:rPr>
          <w:i/>
          <w:iCs/>
        </w:rPr>
        <w:t xml:space="preserve">Detecting Multicollinearity Using Variance Inflation Factors</w:t>
      </w:r>
      <w:r>
        <w:t xml:space="preserve">. 2025.</w:t>
      </w:r>
      <w:r>
        <w:t xml:space="preserve"> </w:t>
      </w:r>
      <w:hyperlink r:id="rId140">
        <w:r>
          <w:rPr>
            <w:rStyle w:val="Hyperlink"/>
          </w:rPr>
          <w:t xml:space="preserve">https://online.stat.psu.edu/stat462/node/180</w:t>
        </w:r>
      </w:hyperlink>
      <w:r>
        <w:t xml:space="preserve">.</w:t>
      </w:r>
    </w:p>
    <w:bookmarkEnd w:id="141"/>
    <w:bookmarkStart w:id="143" w:name="ref-saarela2021"/>
    <w:p>
      <w:pPr>
        <w:pStyle w:val="Bibliography"/>
      </w:pPr>
      <w:r>
        <w:t xml:space="preserve">Saarela, Mirka,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42">
        <w:r>
          <w:rPr>
            <w:rStyle w:val="Hyperlink"/>
          </w:rPr>
          <w:t xml:space="preserve">https://doi.org/10.1007/s42452-021-04148-9</w:t>
        </w:r>
      </w:hyperlink>
      <w:r>
        <w:t xml:space="preserve">.</w:t>
      </w:r>
    </w:p>
    <w:bookmarkEnd w:id="143"/>
    <w:bookmarkStart w:id="145" w:name="ref-amb2025"/>
    <w:p>
      <w:pPr>
        <w:pStyle w:val="Bibliography"/>
      </w:pPr>
      <w:r>
        <w:t xml:space="preserve">Samborska, Veronika.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144">
        <w:r>
          <w:rPr>
            <w:rStyle w:val="Hyperlink"/>
          </w:rPr>
          <w:t xml:space="preserve">https://ourworldindata.org/scaling-up-ai</w:t>
        </w:r>
      </w:hyperlink>
      <w:r>
        <w:t xml:space="preserve">.</w:t>
      </w:r>
    </w:p>
    <w:bookmarkEnd w:id="145"/>
    <w:bookmarkStart w:id="147" w:name="ref-neurond2024"/>
    <w:p>
      <w:pPr>
        <w:pStyle w:val="Bibliography"/>
      </w:pPr>
      <w:r>
        <w:t xml:space="preserve">Trinh Nguyen.</w:t>
      </w:r>
      <w:r>
        <w:t xml:space="preserve"> </w:t>
      </w:r>
      <w:r>
        <w:rPr>
          <w:i/>
          <w:iCs/>
        </w:rPr>
        <w:t xml:space="preserve">Top 10 No Code Machine Learning Platforms to Use in 2024</w:t>
      </w:r>
      <w:r>
        <w:t xml:space="preserve">. 2024.</w:t>
      </w:r>
      <w:r>
        <w:t xml:space="preserve"> </w:t>
      </w:r>
      <w:hyperlink r:id="rId146">
        <w:r>
          <w:rPr>
            <w:rStyle w:val="Hyperlink"/>
          </w:rPr>
          <w:t xml:space="preserve">https://www.neurond.com/blog/no-code-machine-learning-platforms</w:t>
        </w:r>
      </w:hyperlink>
      <w:r>
        <w:t xml:space="preserve">.</w:t>
      </w:r>
    </w:p>
    <w:bookmarkEnd w:id="147"/>
    <w:bookmarkStart w:id="149" w:name="ref-unesco2014"/>
    <w:p>
      <w:pPr>
        <w:pStyle w:val="Bibliography"/>
      </w:pPr>
      <w:r>
        <w:t xml:space="preserve">Veillon, Richard.</w:t>
      </w:r>
      <w:r>
        <w:t xml:space="preserve"> </w:t>
      </w:r>
      <w:r>
        <w:rPr>
          <w:i/>
          <w:iCs/>
        </w:rPr>
        <w:t xml:space="preserve">State of Conservation of World Heritage Properties – a Statistical Analysis (1979–2013)</w:t>
      </w:r>
      <w:r>
        <w:t xml:space="preserve">. UNESCO World Heritage Centre, 2014.</w:t>
      </w:r>
      <w:r>
        <w:t xml:space="preserve"> </w:t>
      </w:r>
      <w:hyperlink r:id="rId148">
        <w:r>
          <w:rPr>
            <w:rStyle w:val="Hyperlink"/>
          </w:rPr>
          <w:t xml:space="preserve">https://whc.unesco.org/en/documents/134872</w:t>
        </w:r>
      </w:hyperlink>
      <w:r>
        <w:t xml:space="preserve">.</w:t>
      </w:r>
    </w:p>
    <w:bookmarkEnd w:id="149"/>
    <w:bookmarkStart w:id="151" w:name="ref-wang2016"/>
    <w:p>
      <w:pPr>
        <w:pStyle w:val="Bibliography"/>
      </w:pPr>
      <w:r>
        <w:t xml:space="preserve">Wang, Huazhen, Fan Yang, and Zhiyuan Luo.</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50">
        <w:r>
          <w:rPr>
            <w:rStyle w:val="Hyperlink"/>
          </w:rPr>
          <w:t xml:space="preserve">https://doi.org/10.1186/s12859-016-0900-5</w:t>
        </w:r>
      </w:hyperlink>
      <w:r>
        <w:t xml:space="preserve">.</w:t>
      </w:r>
    </w:p>
    <w:bookmarkEnd w:id="151"/>
    <w:bookmarkStart w:id="153" w:name="ref-wani2025"/>
    <w:p>
      <w:pPr>
        <w:pStyle w:val="Bibliography"/>
      </w:pPr>
      <w:r>
        <w:t xml:space="preserve">Wani, Aasim Ayaz.</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152">
        <w:r>
          <w:rPr>
            <w:rStyle w:val="Hyperlink"/>
          </w:rPr>
          <w:t xml:space="preserve">https://doi.org/10.7717/peerj-cs.3025</w:t>
        </w:r>
      </w:hyperlink>
      <w:r>
        <w:t xml:space="preserve">.</w:t>
      </w:r>
    </w:p>
    <w:bookmarkEnd w:id="153"/>
    <w:bookmarkStart w:id="155" w:name="ref-williams2010"/>
    <w:p>
      <w:pPr>
        <w:pStyle w:val="Bibliography"/>
      </w:pPr>
      <w:r>
        <w:t xml:space="preserve">Williams, Brett, Andrys Onsman, and Ted Brown.</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54">
        <w:r>
          <w:rPr>
            <w:rStyle w:val="Hyperlink"/>
          </w:rPr>
          <w:t xml:space="preserve">https://journals.sagepub.com/doi/pdf/10.33151/ajp.8.3.93</w:t>
        </w:r>
      </w:hyperlink>
      <w:r>
        <w:t xml:space="preserve">.</w:t>
      </w:r>
    </w:p>
    <w:bookmarkEnd w:id="155"/>
    <w:bookmarkStart w:id="157" w:name="ref-zhou2021"/>
    <w:p>
      <w:pPr>
        <w:pStyle w:val="Bibliography"/>
      </w:pPr>
      <w:r>
        <w:t xml:space="preserve">Zhou, Zhengze,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56">
        <w:r>
          <w:rPr>
            <w:rStyle w:val="Hyperlink"/>
          </w:rPr>
          <w:t xml:space="preserve">https://doi.org/10.1145/3429445</w:t>
        </w:r>
      </w:hyperlink>
      <w:r>
        <w:t xml:space="preserve">.</w:t>
      </w:r>
    </w:p>
    <w:bookmarkEnd w:id="157"/>
    <w:bookmarkEnd w:id="158"/>
    <w:bookmarkEnd w:id="159"/>
    <w:p>
      <w:pPr>
        <w:pStyle w:val="Heading1"/>
      </w:pPr>
      <w:r>
        <w:t xml:space="preserve">Notes</w:t>
      </w:r>
    </w:p>
    <w:p>
      <w:pPr>
        <w:numPr>
          <w:ilvl w:val="0"/>
          <w:numId w:val="1001"/>
        </w:numPr>
      </w:pPr>
      <w:r>
        <w:t xml:space="preserve">Mikesell,</w:t>
      </w:r>
      <w:r>
        <w:t xml:space="preserve"> </w:t>
      </w:r>
      <w:r>
        <w:t xml:space="preserve">“Historic Preservation That Counts”</w:t>
      </w:r>
      <w:r>
        <w:t xml:space="preserve">; Veillon,</w:t>
      </w:r>
      <w:r>
        <w:t xml:space="preserve"> </w:t>
      </w:r>
      <w:r>
        <w:rPr>
          <w:i/>
          <w:iCs/>
        </w:rPr>
        <w:t xml:space="preserve">State of Conservation of World Heritage Properties – a Statistical Analysis (1979–2013)</w:t>
      </w:r>
      <w:r>
        <w:t xml:space="preserve">.</w:t>
      </w:r>
    </w:p>
    <w:p>
      <w:pPr>
        <w:numPr>
          <w:ilvl w:val="0"/>
          <w:numId w:val="1001"/>
        </w:numPr>
      </w:pPr>
      <w:r>
        <w:t xml:space="preserve">Samborska,</w:t>
      </w:r>
      <w:r>
        <w:t xml:space="preserve"> </w:t>
      </w:r>
      <w:r>
        <w:t xml:space="preserve">“Scaling Up.”</w:t>
      </w:r>
    </w:p>
    <w:p>
      <w:pPr>
        <w:numPr>
          <w:ilvl w:val="0"/>
          <w:numId w:val="1001"/>
        </w:numPr>
      </w:pPr>
      <w:r>
        <w:t xml:space="preserve">Google,</w:t>
      </w:r>
      <w:r>
        <w:t xml:space="preserve"> </w:t>
      </w:r>
      <w:r>
        <w:rPr>
          <w:i/>
          <w:iCs/>
        </w:rPr>
        <w:t xml:space="preserve">Google Colaboratory</w:t>
      </w:r>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w:t>
      </w:r>
    </w:p>
    <w:p>
      <w:pPr>
        <w:numPr>
          <w:ilvl w:val="0"/>
          <w:numId w:val="1001"/>
        </w:numPr>
      </w:pPr>
      <w:r>
        <w:t xml:space="preserve">Wani,</w:t>
      </w:r>
      <w:r>
        <w:t xml:space="preserve"> </w:t>
      </w:r>
      <w:r>
        <w:t xml:space="preserve">“Comprehensive Review of Dimensionality Reduction Algorithms”</w:t>
      </w:r>
      <w:r>
        <w:t xml:space="preserve">; Fodor,</w:t>
      </w:r>
      <w:r>
        <w:t xml:space="preserve"> </w:t>
      </w:r>
      <w:r>
        <w:rPr>
          <w:i/>
          <w:iCs/>
        </w:rPr>
        <w:t xml:space="preserve">A Survey of Dimension Reduction Techniques</w:t>
      </w:r>
      <w:r>
        <w:t xml:space="preserve">.</w:t>
      </w:r>
    </w:p>
    <w:p>
      <w:pPr>
        <w:numPr>
          <w:ilvl w:val="0"/>
          <w:numId w:val="1001"/>
        </w:numPr>
      </w:pPr>
      <w:r>
        <w:t xml:space="preserve">Grace‐Martin,</w:t>
      </w:r>
      <w:r>
        <w:t xml:space="preserve"> </w:t>
      </w:r>
      <w:r>
        <w:rPr>
          <w:i/>
          <w:iCs/>
        </w:rPr>
        <w:t xml:space="preserve">How Big of a Sample Size Do You Need for Factor Analysis?</w:t>
      </w:r>
    </w:p>
    <w:p>
      <w:pPr>
        <w:numPr>
          <w:ilvl w:val="0"/>
          <w:numId w:val="1001"/>
        </w:numPr>
      </w:pPr>
      <w:r>
        <w:t xml:space="preserve">Wang et al.,</w:t>
      </w:r>
      <w:r>
        <w:t xml:space="preserve"> </w:t>
      </w:r>
      <w:r>
        <w:t xml:space="preserve">“An Experimental Study of the Intrinsic Stability of Random Forest Variable Importance Measures.”</w:t>
      </w:r>
    </w:p>
    <w:p>
      <w:pPr>
        <w:numPr>
          <w:ilvl w:val="0"/>
          <w:numId w:val="1001"/>
        </w:numPr>
      </w:pPr>
      <w:r>
        <w:t xml:space="preserve">Calle and Urrea,</w:t>
      </w:r>
      <w:r>
        <w:t xml:space="preserve"> </w:t>
      </w:r>
      <w:r>
        <w:t xml:space="preserve">“Letter to the Editor.”</w:t>
      </w:r>
    </w:p>
    <w:p>
      <w:pPr>
        <w:numPr>
          <w:ilvl w:val="0"/>
          <w:numId w:val="1001"/>
        </w:numPr>
      </w:pPr>
      <w:r>
        <w:t xml:space="preserve">Palomares Carrascosa,</w:t>
      </w:r>
      <w:r>
        <w:t xml:space="preserve"> </w:t>
      </w:r>
      <w:r>
        <w:rPr>
          <w:i/>
          <w:iCs/>
        </w:rPr>
        <w:t xml:space="preserve">Understanding Correlation and Causation</w:t>
      </w:r>
      <w:r>
        <w:t xml:space="preserve">; Frost,</w:t>
      </w:r>
      <w:r>
        <w:t xml:space="preserve"> </w:t>
      </w:r>
      <w:r>
        <w:rPr>
          <w:i/>
          <w:iCs/>
        </w:rPr>
        <w:t xml:space="preserve">Correlation Vs Causation</w:t>
      </w:r>
      <w:r>
        <w:t xml:space="preserve">.</w:t>
      </w:r>
    </w:p>
    <w:p>
      <w:pPr>
        <w:numPr>
          <w:ilvl w:val="0"/>
          <w:numId w:val="1001"/>
        </w:numPr>
      </w:pPr>
      <w:r>
        <w:t xml:space="preserve">Goretzko et al.,</w:t>
      </w:r>
      <w:r>
        <w:t xml:space="preserve"> </w:t>
      </w:r>
      <w:r>
        <w:t xml:space="preserve">“Exploratory Factor Analysis.”</w:t>
      </w:r>
    </w:p>
    <w:p>
      <w:pPr>
        <w:numPr>
          <w:ilvl w:val="0"/>
          <w:numId w:val="1001"/>
        </w:numPr>
      </w:pPr>
      <w:r>
        <w:t xml:space="preserve">Williams et al.,</w:t>
      </w:r>
      <w:r>
        <w:t xml:space="preserve"> </w:t>
      </w:r>
      <w:r>
        <w:t xml:space="preserve">“Exploratory Factor Analysis.”</w:t>
      </w:r>
    </w:p>
    <w:p>
      <w:pPr>
        <w:numPr>
          <w:ilvl w:val="0"/>
          <w:numId w:val="1001"/>
        </w:numPr>
      </w:pPr>
      <w:r>
        <w:t xml:space="preserve">Saarela and Jauhiainen,</w:t>
      </w:r>
      <w:r>
        <w:t xml:space="preserve"> </w:t>
      </w:r>
      <w:r>
        <w:t xml:space="preserve">“Comparison of Feature Importance Measures as Explanations for Classification Models.”</w:t>
      </w:r>
    </w:p>
    <w:p>
      <w:pPr>
        <w:numPr>
          <w:ilvl w:val="0"/>
          <w:numId w:val="1001"/>
        </w:numPr>
      </w:pPr>
      <w:r>
        <w:t xml:space="preserve">Breiman,</w:t>
      </w:r>
      <w:r>
        <w:t xml:space="preserve"> </w:t>
      </w:r>
      <w:r>
        <w:t xml:space="preserve">“Random Forests.”</w:t>
      </w:r>
    </w:p>
    <w:p>
      <w:pPr>
        <w:numPr>
          <w:ilvl w:val="0"/>
          <w:numId w:val="1001"/>
        </w:numPr>
      </w:pPr>
      <w:r>
        <w:t xml:space="preserve">Friedman,</w:t>
      </w:r>
      <w:r>
        <w:t xml:space="preserve"> </w:t>
      </w:r>
      <w:r>
        <w:t xml:space="preserve">“Greedy Function Approximation.”</w:t>
      </w:r>
    </w:p>
    <w:p>
      <w:pPr>
        <w:numPr>
          <w:ilvl w:val="0"/>
          <w:numId w:val="1001"/>
        </w:numPr>
      </w:pPr>
      <w:r>
        <w:t xml:space="preserve">Zhou and Hooker,</w:t>
      </w:r>
      <w:r>
        <w:t xml:space="preserve"> </w:t>
      </w:r>
      <w:r>
        <w:t xml:space="preserve">“Unbiased Measurement of Feature Importance in Tree-Based Methods.”</w:t>
      </w:r>
    </w:p>
    <w:p>
      <w:pPr>
        <w:numPr>
          <w:ilvl w:val="0"/>
          <w:numId w:val="1001"/>
        </w:numPr>
      </w:pPr>
      <w:r>
        <w:t xml:space="preserve">Basu et al.,</w:t>
      </w:r>
      <w:r>
        <w:t xml:space="preserve"> </w:t>
      </w:r>
      <w:r>
        <w:t xml:space="preserve">“Iterative Random Forests to Discover Predictive and Stable High-Order Interactions.”</w:t>
      </w:r>
    </w:p>
    <w:p>
      <w:pPr>
        <w:numPr>
          <w:ilvl w:val="0"/>
          <w:numId w:val="1001"/>
        </w:numPr>
      </w:pPr>
      <w:r>
        <w:t xml:space="preserve">Kallas and Napolitano,</w:t>
      </w:r>
      <w:r>
        <w:t xml:space="preserve"> </w:t>
      </w:r>
      <w:r>
        <w:t xml:space="preserve">“Understanding Critical Masonry Building Attributes Shaping Vulnerability to Blast Loads”</w:t>
      </w:r>
      <w:r>
        <w:t xml:space="preserve">; Kallas and Napolitano,</w:t>
      </w:r>
      <w:r>
        <w:t xml:space="preserve"> </w:t>
      </w:r>
      <w:r>
        <w:t xml:space="preserve">“Understanding Key Building Attributes Influencing Flood Vulnerability in Masonry Structures After the 2023 Kakhovka Dam Breach in Ukraine”</w:t>
      </w:r>
      <w:r>
        <w:t xml:space="preserve">; Kallas and Napolitano,</w:t>
      </w:r>
      <w:r>
        <w:t xml:space="preserve"> </w:t>
      </w:r>
      <w:r>
        <w:t xml:space="preserve">“Beyond Field Surveys.”</w:t>
      </w:r>
    </w:p>
    <w:p>
      <w:pPr>
        <w:numPr>
          <w:ilvl w:val="0"/>
          <w:numId w:val="1001"/>
        </w:numPr>
      </w:pPr>
      <w:r>
        <w:t xml:space="preserve">Gulati,</w:t>
      </w:r>
      <w:r>
        <w:t xml:space="preserve"> </w:t>
      </w:r>
      <w:r>
        <w:rPr>
          <w:i/>
          <w:iCs/>
        </w:rPr>
        <w:t xml:space="preserve">Logistic Vs SVM Vs Random Forest</w:t>
      </w:r>
      <w:r>
        <w:t xml:space="preserve">; Ewald et al.,</w:t>
      </w:r>
      <w:r>
        <w:t xml:space="preserve"> </w:t>
      </w:r>
      <w:r>
        <w:rPr>
          <w:i/>
          <w:iCs/>
        </w:rPr>
        <w:t xml:space="preserve">A Guide to Feature Importance Methods for Scientific Inference</w:t>
      </w:r>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w:t>
      </w:r>
    </w:p>
    <w:p>
      <w:pPr>
        <w:numPr>
          <w:ilvl w:val="0"/>
          <w:numId w:val="1001"/>
        </w:numPr>
      </w:pPr>
      <w:r>
        <w:t xml:space="preserve">Bhagat and Bakariya,</w:t>
      </w:r>
      <w:r>
        <w:t xml:space="preserve"> </w:t>
      </w:r>
      <w:r>
        <w:t xml:space="preserve">“A Comprehensive Review of Cross-Validation Techniques in Machine Learning.”</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5" Target="media/rId95.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85" Target="media/rId85.png" /><Relationship Type="http://schemas.openxmlformats.org/officeDocument/2006/relationships/image" Id="rId67" Target="media/rId67.png" /><Relationship Type="http://schemas.openxmlformats.org/officeDocument/2006/relationships/image" Id="rId27" Target="media/rId27.png" /><Relationship Type="http://schemas.openxmlformats.org/officeDocument/2006/relationships/image" Id="rId81" Target="media/rId81.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31" Target="media/rId31.png" /><Relationship Type="http://schemas.openxmlformats.org/officeDocument/2006/relationships/hyperlink" Id="rId114" Target="https://arxiv.org/abs/2404.12862" TargetMode="External" /><Relationship Type="http://schemas.openxmlformats.org/officeDocument/2006/relationships/hyperlink" Id="rId122" Target="https://colab.research.google.com" TargetMode="External" /><Relationship Type="http://schemas.openxmlformats.org/officeDocument/2006/relationships/hyperlink" Id="rId116" Target="https://computing.llnl.gov/sites/default/files/148494.pdf" TargetMode="External" /><Relationship Type="http://schemas.openxmlformats.org/officeDocument/2006/relationships/hyperlink" Id="rId124" Target="https://doi.org/10.1007/s12144-019-00300-2" TargetMode="External" /><Relationship Type="http://schemas.openxmlformats.org/officeDocument/2006/relationships/hyperlink" Id="rId142" Target="https://doi.org/10.1007/s42452-021-04148-9" TargetMode="External" /><Relationship Type="http://schemas.openxmlformats.org/officeDocument/2006/relationships/hyperlink" Id="rId132" Target="https://doi.org/10.1016/j.ijdrr.2024.104640" TargetMode="External" /><Relationship Type="http://schemas.openxmlformats.org/officeDocument/2006/relationships/hyperlink" Id="rId130" Target="https://doi.org/10.1016/j.ijdrr.2025.105672" TargetMode="External" /><Relationship Type="http://schemas.openxmlformats.org/officeDocument/2006/relationships/hyperlink" Id="rId110" Target="https://doi.org/10.1023/A:1010933404324" TargetMode="External" /><Relationship Type="http://schemas.openxmlformats.org/officeDocument/2006/relationships/hyperlink" Id="rId106" Target="https://doi.org/10.1073/pnas.1711236115" TargetMode="External" /><Relationship Type="http://schemas.openxmlformats.org/officeDocument/2006/relationships/hyperlink" Id="rId112" Target="https://doi.org/10.1093/bib/bbq011" TargetMode="External" /><Relationship Type="http://schemas.openxmlformats.org/officeDocument/2006/relationships/hyperlink" Id="rId156" Target="https://doi.org/10.1145/3429445" TargetMode="External" /><Relationship Type="http://schemas.openxmlformats.org/officeDocument/2006/relationships/hyperlink" Id="rId134" Target="https://doi.org/10.1145/3744743" TargetMode="External" /><Relationship Type="http://schemas.openxmlformats.org/officeDocument/2006/relationships/hyperlink" Id="rId150" Target="https://doi.org/10.1186/s12859-016-0900-5" TargetMode="External" /><Relationship Type="http://schemas.openxmlformats.org/officeDocument/2006/relationships/hyperlink" Id="rId118" Target="https://doi.org/10.1214/aos/1013203451" TargetMode="External" /><Relationship Type="http://schemas.openxmlformats.org/officeDocument/2006/relationships/hyperlink" Id="rId108" Target="https://doi.org/10.1234/ijsat.2025.01.1305" TargetMode="External" /><Relationship Type="http://schemas.openxmlformats.org/officeDocument/2006/relationships/hyperlink" Id="rId136" Target="https://doi.org/10.2307/3377500" TargetMode="External" /><Relationship Type="http://schemas.openxmlformats.org/officeDocument/2006/relationships/hyperlink" Id="rId152" Target="https://doi.org/10.7717/peerj-cs.3025" TargetMode="External" /><Relationship Type="http://schemas.openxmlformats.org/officeDocument/2006/relationships/hyperlink" Id="rId154" Target="https://journals.sagepub.com/doi/pdf/10.33151/ajp.8.3.93" TargetMode="External" /><Relationship Type="http://schemas.openxmlformats.org/officeDocument/2006/relationships/hyperlink" Id="rId128" Target="https://machinelearningmastery.com/logistic-vs-svm-vs-random-forest-which-one-wins-for-small-datasets/" TargetMode="External" /><Relationship Type="http://schemas.openxmlformats.org/officeDocument/2006/relationships/hyperlink" Id="rId140" Target="https://online.stat.psu.edu/stat462/node/180" TargetMode="External" /><Relationship Type="http://schemas.openxmlformats.org/officeDocument/2006/relationships/hyperlink" Id="rId144" Target="https://ourworldindata.org/scaling-up-ai" TargetMode="External" /><Relationship Type="http://schemas.openxmlformats.org/officeDocument/2006/relationships/hyperlink" Id="rId120" Target="https://statisticsbyjim.com/basics/correlation-vs-causation" TargetMode="External" /><Relationship Type="http://schemas.openxmlformats.org/officeDocument/2006/relationships/hyperlink" Id="rId148" Target="https://whc.unesco.org/en/documents/134872" TargetMode="External" /><Relationship Type="http://schemas.openxmlformats.org/officeDocument/2006/relationships/hyperlink" Id="rId146" Target="https://www.neurond.com/blog/no-code-machine-learning-platforms" TargetMode="External" /><Relationship Type="http://schemas.openxmlformats.org/officeDocument/2006/relationships/hyperlink" Id="rId138" Target="https://www.statology.org/understanding-correlation-and-causation" TargetMode="External" /><Relationship Type="http://schemas.openxmlformats.org/officeDocument/2006/relationships/hyperlink" Id="rId126"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4" Target="https://arxiv.org/abs/2404.12862" TargetMode="External" /><Relationship Type="http://schemas.openxmlformats.org/officeDocument/2006/relationships/hyperlink" Id="rId122" Target="https://colab.research.google.com" TargetMode="External" /><Relationship Type="http://schemas.openxmlformats.org/officeDocument/2006/relationships/hyperlink" Id="rId116" Target="https://computing.llnl.gov/sites/default/files/148494.pdf" TargetMode="External" /><Relationship Type="http://schemas.openxmlformats.org/officeDocument/2006/relationships/hyperlink" Id="rId124" Target="https://doi.org/10.1007/s12144-019-00300-2" TargetMode="External" /><Relationship Type="http://schemas.openxmlformats.org/officeDocument/2006/relationships/hyperlink" Id="rId142" Target="https://doi.org/10.1007/s42452-021-04148-9" TargetMode="External" /><Relationship Type="http://schemas.openxmlformats.org/officeDocument/2006/relationships/hyperlink" Id="rId132" Target="https://doi.org/10.1016/j.ijdrr.2024.104640" TargetMode="External" /><Relationship Type="http://schemas.openxmlformats.org/officeDocument/2006/relationships/hyperlink" Id="rId130" Target="https://doi.org/10.1016/j.ijdrr.2025.105672" TargetMode="External" /><Relationship Type="http://schemas.openxmlformats.org/officeDocument/2006/relationships/hyperlink" Id="rId110" Target="https://doi.org/10.1023/A:1010933404324" TargetMode="External" /><Relationship Type="http://schemas.openxmlformats.org/officeDocument/2006/relationships/hyperlink" Id="rId106" Target="https://doi.org/10.1073/pnas.1711236115" TargetMode="External" /><Relationship Type="http://schemas.openxmlformats.org/officeDocument/2006/relationships/hyperlink" Id="rId112" Target="https://doi.org/10.1093/bib/bbq011" TargetMode="External" /><Relationship Type="http://schemas.openxmlformats.org/officeDocument/2006/relationships/hyperlink" Id="rId156" Target="https://doi.org/10.1145/3429445" TargetMode="External" /><Relationship Type="http://schemas.openxmlformats.org/officeDocument/2006/relationships/hyperlink" Id="rId134" Target="https://doi.org/10.1145/3744743" TargetMode="External" /><Relationship Type="http://schemas.openxmlformats.org/officeDocument/2006/relationships/hyperlink" Id="rId150" Target="https://doi.org/10.1186/s12859-016-0900-5" TargetMode="External" /><Relationship Type="http://schemas.openxmlformats.org/officeDocument/2006/relationships/hyperlink" Id="rId118" Target="https://doi.org/10.1214/aos/1013203451" TargetMode="External" /><Relationship Type="http://schemas.openxmlformats.org/officeDocument/2006/relationships/hyperlink" Id="rId108" Target="https://doi.org/10.1234/ijsat.2025.01.1305" TargetMode="External" /><Relationship Type="http://schemas.openxmlformats.org/officeDocument/2006/relationships/hyperlink" Id="rId136" Target="https://doi.org/10.2307/3377500" TargetMode="External" /><Relationship Type="http://schemas.openxmlformats.org/officeDocument/2006/relationships/hyperlink" Id="rId152" Target="https://doi.org/10.7717/peerj-cs.3025" TargetMode="External" /><Relationship Type="http://schemas.openxmlformats.org/officeDocument/2006/relationships/hyperlink" Id="rId154" Target="https://journals.sagepub.com/doi/pdf/10.33151/ajp.8.3.93" TargetMode="External" /><Relationship Type="http://schemas.openxmlformats.org/officeDocument/2006/relationships/hyperlink" Id="rId128" Target="https://machinelearningmastery.com/logistic-vs-svm-vs-random-forest-which-one-wins-for-small-datasets/" TargetMode="External" /><Relationship Type="http://schemas.openxmlformats.org/officeDocument/2006/relationships/hyperlink" Id="rId140" Target="https://online.stat.psu.edu/stat462/node/180" TargetMode="External" /><Relationship Type="http://schemas.openxmlformats.org/officeDocument/2006/relationships/hyperlink" Id="rId144" Target="https://ourworldindata.org/scaling-up-ai" TargetMode="External" /><Relationship Type="http://schemas.openxmlformats.org/officeDocument/2006/relationships/hyperlink" Id="rId120" Target="https://statisticsbyjim.com/basics/correlation-vs-causation" TargetMode="External" /><Relationship Type="http://schemas.openxmlformats.org/officeDocument/2006/relationships/hyperlink" Id="rId148" Target="https://whc.unesco.org/en/documents/134872" TargetMode="External" /><Relationship Type="http://schemas.openxmlformats.org/officeDocument/2006/relationships/hyperlink" Id="rId146" Target="https://www.neurond.com/blog/no-code-machine-learning-platforms" TargetMode="External" /><Relationship Type="http://schemas.openxmlformats.org/officeDocument/2006/relationships/hyperlink" Id="rId138" Target="https://www.statology.org/understanding-correlation-and-causation" TargetMode="External" /><Relationship Type="http://schemas.openxmlformats.org/officeDocument/2006/relationships/hyperlink" Id="rId126"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2025-11-26T17:59:16Z</dcterms:created>
  <dcterms:modified xsi:type="dcterms:W3CDTF">2025-11-26T17:59:16Z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bib.bib</vt:lpwstr>
  </property>
  <property fmtid="{D5CDD505-2E9C-101B-9397-08002B2CF9AE}" pid="3" name="csl">
    <vt:lpwstr>chicago-note-bibliography.csl</vt:lpwstr>
  </property>
  <property fmtid="{D5CDD505-2E9C-101B-9397-08002B2CF9AE}" pid="4" name="date">
    <vt:lpwstr>December 2025</vt:lpwstr>
  </property>
</Properties>
</file>