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w:t>
      </w:r>
      <w:hyperlink w:anchor="endnote-18">
        <w:r>
          <w:rPr>
            <w:rStyle w:val="Hyperlink"/>
            <w:vertAlign w:val="superscript"/>
          </w:rPr>
          <w:t xml:space="preserve">18</w:t>
        </w:r>
      </w:hyperlink>
      <w:r>
        <w:t xml:space="preserve">.</w:t>
      </w:r>
      <w:hyperlink w:anchor="endnote-19">
        <w:r>
          <w:rPr>
            <w:rStyle w:val="Hyperlink"/>
            <w:vertAlign w:val="superscript"/>
          </w:rPr>
          <w:t xml:space="preserve">19</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20">
        <w:r>
          <w:rPr>
            <w:rStyle w:val="Hyperlink"/>
            <w:vertAlign w:val="superscript"/>
          </w:rPr>
          <w:t xml:space="preserve">20</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21">
        <w:r>
          <w:rPr>
            <w:rStyle w:val="Hyperlink"/>
            <w:vertAlign w:val="superscript"/>
          </w:rPr>
          <w:t xml:space="preserve">21</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2">
        <w:r>
          <w:rPr>
            <w:rStyle w:val="Hyperlink"/>
            <w:vertAlign w:val="superscript"/>
          </w:rPr>
          <w:t xml:space="preserve">22</w:t>
        </w:r>
      </w:hyperlink>
      <w:r>
        <w:t xml:space="preserve"> Finally, feature importance is computed by measuring the performance loss occurred when a specific variable is removed (permutation importance).</w:t>
      </w:r>
      <w:hyperlink w:anchor="endnote-23">
        <w:r>
          <w:rPr>
            <w:rStyle w:val="Hyperlink"/>
            <w:vertAlign w:val="superscript"/>
          </w:rPr>
          <w:t xml:space="preserve">23</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1" w:name="interactive-tutorials"/>
    <w:p>
      <w:pPr>
        <w:pStyle w:val="Heading1"/>
      </w:pPr>
      <w:r>
        <w:t xml:space="preserve">Interactive Tutorials</w:t>
      </w:r>
    </w:p>
    <w:p>
      <w:pPr>
        <w:pStyle w:val="FirstParagraph"/>
      </w:pPr>
      <w:r>
        <w:t xml:space="preserve">Five Google Colab notebooks provide hands-on training for practitioners with no programming experience. All code and data are available in the project repository:</w:t>
      </w:r>
      <w:r>
        <w:t xml:space="preserve"> </w:t>
      </w:r>
      <w:hyperlink r:id="rId85">
        <w:r>
          <w:rPr>
            <w:rStyle w:val="Hyperlink"/>
          </w:rPr>
          <w:t xml:space="preserve">https://github.com/rkn2/practicePointFeatureImp</w:t>
        </w:r>
      </w:hyperlink>
      <w:r>
        <w:t xml:space="preserve">. Start with Notebook 00 and work through sequentially.</w:t>
      </w:r>
    </w:p>
    <w:p>
      <w:pPr>
        <w:pStyle w:val="BodyText"/>
      </w:pPr>
      <w:r>
        <w:rPr>
          <w:b/>
          <w:bCs/>
        </w:rPr>
        <w:t xml:space="preserve">Data Preparation</w:t>
      </w:r>
      <w:r>
        <w:t xml:space="preserve"> </w:t>
      </w:r>
      <w:r>
        <w:t xml:space="preserve">(</w:t>
      </w:r>
      <w:hyperlink r:id="rId86">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7">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8">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9">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90">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1"/>
    <w:p>
      <w:pPr>
        <w:pStyle w:val="Heading1"/>
      </w:pPr>
      <w:r>
        <w:t xml:space="preserve">Notes</w:t>
      </w:r>
    </w:p>
    <w:p>
      <w:pPr>
        <w:numPr>
          <w:ilvl w:val="0"/>
          <w:numId w:val="1001"/>
        </w:numPr>
      </w:pPr>
      <w:r>
        <w:t xml:space="preserve">Stephen D. Mikesell,</w:t>
      </w:r>
      <w:r>
        <w:t xml:space="preserve"> </w:t>
      </w:r>
      <w:r>
        <w:t xml:space="preserve">“Historic Preservation That Counts: Quantitative Methods for Evaluating Historic Resources,”</w:t>
      </w:r>
      <w:r>
        <w:t xml:space="preserve"> </w:t>
      </w:r>
      <w:r>
        <w:rPr>
          <w:i/>
          <w:iCs/>
        </w:rPr>
        <w:t xml:space="preserve">The Public Historian</w:t>
      </w:r>
      <w:r>
        <w:t xml:space="preserve"> </w:t>
      </w:r>
      <w:r>
        <w:t xml:space="preserve">8, no. 4 (1986): 61–74,</w:t>
      </w:r>
      <w:r>
        <w:t xml:space="preserve"> </w:t>
      </w:r>
      <w:hyperlink r:id="rId92">
        <w:r>
          <w:rPr>
            <w:rStyle w:val="Hyperlink"/>
          </w:rPr>
          <w:t xml:space="preserve">https://doi.org/10.2307/3377500</w:t>
        </w:r>
      </w:hyperlink>
      <w:r>
        <w:t xml:space="preserve">; Richard Veillon,</w:t>
      </w:r>
      <w:r>
        <w:t xml:space="preserve"> </w:t>
      </w:r>
      <w:r>
        <w:rPr>
          <w:i/>
          <w:iCs/>
        </w:rPr>
        <w:t xml:space="preserve">State of Conservation of World Heritage Properties – a Statistical Analysis (1979–2013)</w:t>
      </w:r>
      <w:r>
        <w:t xml:space="preserve"> </w:t>
      </w:r>
      <w:r>
        <w:t xml:space="preserve">(UNESCO World Heritage Centre, 2014),</w:t>
      </w:r>
      <w:r>
        <w:t xml:space="preserve"> </w:t>
      </w:r>
      <w:hyperlink r:id="rId93">
        <w:r>
          <w:rPr>
            <w:rStyle w:val="Hyperlink"/>
          </w:rPr>
          <w:t xml:space="preserve">https://whc.unesco.org/en/documents/134872</w:t>
        </w:r>
      </w:hyperlink>
      <w:r>
        <w:t xml:space="preserve">.</w:t>
      </w:r>
    </w:p>
    <w:p>
      <w:pPr>
        <w:numPr>
          <w:ilvl w:val="0"/>
          <w:numId w:val="1001"/>
        </w:numPr>
      </w:pPr>
      <w:r>
        <w:t xml:space="preserve">Veronika Samborska,</w:t>
      </w:r>
      <w:r>
        <w:t xml:space="preserve"> </w:t>
      </w:r>
      <w:r>
        <w:t xml:space="preserve">“Scaling up: How Increasing Inputs Has Made Artificial Intelligence More Capable,”</w:t>
      </w:r>
      <w:r>
        <w:t xml:space="preserve"> </w:t>
      </w:r>
      <w:r>
        <w:rPr>
          <w:i/>
          <w:iCs/>
        </w:rPr>
        <w:t xml:space="preserve">Our World in Data</w:t>
      </w:r>
      <w:r>
        <w:t xml:space="preserve">, 2025,</w:t>
      </w:r>
      <w:r>
        <w:t xml:space="preserve"> </w:t>
      </w:r>
      <w:hyperlink r:id="rId94">
        <w:r>
          <w:rPr>
            <w:rStyle w:val="Hyperlink"/>
          </w:rPr>
          <w:t xml:space="preserve">https://ourworldindata.org/scaling-up-ai</w:t>
        </w:r>
      </w:hyperlink>
      <w:r>
        <w:t xml:space="preserve">.</w:t>
      </w:r>
    </w:p>
    <w:p>
      <w:pPr>
        <w:numPr>
          <w:ilvl w:val="0"/>
          <w:numId w:val="1001"/>
        </w:numPr>
      </w:pPr>
      <w:r>
        <w:t xml:space="preserve">Google,</w:t>
      </w:r>
      <w:r>
        <w:t xml:space="preserve"> </w:t>
      </w:r>
      <w:r>
        <w:rPr>
          <w:i/>
          <w:iCs/>
        </w:rPr>
        <w:t xml:space="preserve">Google Colaboratory</w:t>
      </w:r>
      <w:r>
        <w:t xml:space="preserve">, 2025,</w:t>
      </w:r>
      <w:r>
        <w:t xml:space="preserve"> </w:t>
      </w:r>
      <w:hyperlink r:id="rId95">
        <w:r>
          <w:rPr>
            <w:rStyle w:val="Hyperlink"/>
          </w:rPr>
          <w:t xml:space="preserve">https://colab.research.google.com</w:t>
        </w:r>
      </w:hyperlink>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 2024,</w:t>
      </w:r>
      <w:r>
        <w:t xml:space="preserve"> </w:t>
      </w:r>
      <w:hyperlink r:id="rId96">
        <w:r>
          <w:rPr>
            <w:rStyle w:val="Hyperlink"/>
          </w:rPr>
          <w:t xml:space="preserve">https://www.neurond.com/blog/no-code-machine-learning-platforms</w:t>
        </w:r>
      </w:hyperlink>
      <w:r>
        <w:t xml:space="preserve">.</w:t>
      </w:r>
    </w:p>
    <w:p>
      <w:pPr>
        <w:numPr>
          <w:ilvl w:val="0"/>
          <w:numId w:val="1001"/>
        </w:numPr>
      </w:pPr>
      <w:r>
        <w:t xml:space="preserve">Aasim Ayaz Wani,</w:t>
      </w:r>
      <w:r>
        <w:t xml:space="preserve"> </w:t>
      </w:r>
      <w:r>
        <w:t xml:space="preserve">“Comprehensive Review of Dimensionality Reduction Algorithms: Challenges, Limitations, and Innovative Solutions,”</w:t>
      </w:r>
      <w:r>
        <w:t xml:space="preserve"> </w:t>
      </w:r>
      <w:r>
        <w:rPr>
          <w:i/>
          <w:iCs/>
        </w:rPr>
        <w:t xml:space="preserve">PeerJ Computer Science</w:t>
      </w:r>
      <w:r>
        <w:t xml:space="preserve"> </w:t>
      </w:r>
      <w:r>
        <w:t xml:space="preserve">11 (2025),</w:t>
      </w:r>
      <w:r>
        <w:t xml:space="preserve"> </w:t>
      </w:r>
      <w:hyperlink r:id="rId97">
        <w:r>
          <w:rPr>
            <w:rStyle w:val="Hyperlink"/>
          </w:rPr>
          <w:t xml:space="preserve">https://doi.org/10.7717/peerj-cs.3025</w:t>
        </w:r>
      </w:hyperlink>
      <w:r>
        <w:t xml:space="preserve">; Imola K. Fodor,</w:t>
      </w:r>
      <w:r>
        <w:t xml:space="preserve"> </w:t>
      </w:r>
      <w:r>
        <w:rPr>
          <w:i/>
          <w:iCs/>
        </w:rPr>
        <w:t xml:space="preserve">A Survey of Dimension Reduction Techniques</w:t>
      </w:r>
      <w:r>
        <w:t xml:space="preserve"> </w:t>
      </w:r>
      <w:r>
        <w:t xml:space="preserve">(Lawrence Livermore National Laboratory, 2002),</w:t>
      </w:r>
      <w:r>
        <w:t xml:space="preserve"> </w:t>
      </w:r>
      <w:hyperlink r:id="rId98">
        <w:r>
          <w:rPr>
            <w:rStyle w:val="Hyperlink"/>
          </w:rPr>
          <w:t xml:space="preserve">https://computing.llnl.gov/sites/default/files/148494.pdf</w:t>
        </w:r>
      </w:hyperlink>
      <w:r>
        <w:t xml:space="preserve">.</w:t>
      </w:r>
    </w:p>
    <w:p>
      <w:pPr>
        <w:numPr>
          <w:ilvl w:val="0"/>
          <w:numId w:val="1001"/>
        </w:numPr>
      </w:pPr>
      <w:r>
        <w:t xml:space="preserve">Karen Grace‐Martin,</w:t>
      </w:r>
      <w:r>
        <w:t xml:space="preserve"> </w:t>
      </w:r>
      <w:r>
        <w:rPr>
          <w:i/>
          <w:iCs/>
        </w:rPr>
        <w:t xml:space="preserve">How Big of a Sample Size Do You Need for Factor Analysis?</w:t>
      </w:r>
      <w:r>
        <w:t xml:space="preserve">, 2021,</w:t>
      </w:r>
      <w:r>
        <w:t xml:space="preserve"> </w:t>
      </w:r>
      <w:hyperlink r:id="rId99">
        <w:r>
          <w:rPr>
            <w:rStyle w:val="Hyperlink"/>
          </w:rPr>
          <w:t xml:space="preserve">https://www.theanalysisfactor.com/sample-size-needed-for-factor-analysis</w:t>
        </w:r>
      </w:hyperlink>
      <w:r>
        <w:t xml:space="preserve">.</w:t>
      </w:r>
    </w:p>
    <w:p>
      <w:pPr>
        <w:numPr>
          <w:ilvl w:val="0"/>
          <w:numId w:val="1001"/>
        </w:numPr>
      </w:pPr>
      <w:r>
        <w:t xml:space="preserve">Huazhen Wang et al.,</w:t>
      </w:r>
      <w:r>
        <w:t xml:space="preserve"> </w:t>
      </w:r>
      <w:r>
        <w:t xml:space="preserve">“An Experimental Study of the Intrinsic Stability of Random Forest Variable Importance Measures,”</w:t>
      </w:r>
      <w:r>
        <w:t xml:space="preserve"> </w:t>
      </w:r>
      <w:r>
        <w:rPr>
          <w:i/>
          <w:iCs/>
        </w:rPr>
        <w:t xml:space="preserve">BMC Bioinformatics</w:t>
      </w:r>
      <w:r>
        <w:t xml:space="preserve"> </w:t>
      </w:r>
      <w:r>
        <w:t xml:space="preserve">17 (2016): 60,</w:t>
      </w:r>
      <w:r>
        <w:t xml:space="preserve"> </w:t>
      </w:r>
      <w:hyperlink r:id="rId100">
        <w:r>
          <w:rPr>
            <w:rStyle w:val="Hyperlink"/>
          </w:rPr>
          <w:t xml:space="preserve">https://doi.org/10.1186/s12859-016-0900-5</w:t>
        </w:r>
      </w:hyperlink>
      <w:r>
        <w:t xml:space="preserve">.</w:t>
      </w:r>
    </w:p>
    <w:p>
      <w:pPr>
        <w:numPr>
          <w:ilvl w:val="0"/>
          <w:numId w:val="1001"/>
        </w:numPr>
      </w:pPr>
      <w:r>
        <w:t xml:space="preserve">M. Luz Calle and Víctor Urrea,</w:t>
      </w:r>
      <w:r>
        <w:t xml:space="preserve"> </w:t>
      </w:r>
      <w:r>
        <w:t xml:space="preserve">“Letter to the Editor: Stability of Random Forest Importance Measures,”</w:t>
      </w:r>
      <w:r>
        <w:t xml:space="preserve"> </w:t>
      </w:r>
      <w:r>
        <w:rPr>
          <w:i/>
          <w:iCs/>
        </w:rPr>
        <w:t xml:space="preserve">Briefings in Bioinformatics</w:t>
      </w:r>
      <w:r>
        <w:t xml:space="preserve"> </w:t>
      </w:r>
      <w:r>
        <w:t xml:space="preserve">12, no. 1 (2011): 86–89,</w:t>
      </w:r>
      <w:r>
        <w:t xml:space="preserve"> </w:t>
      </w:r>
      <w:hyperlink r:id="rId101">
        <w:r>
          <w:rPr>
            <w:rStyle w:val="Hyperlink"/>
          </w:rPr>
          <w:t xml:space="preserve">https://doi.org/10.1093/bib/bbq011</w:t>
        </w:r>
      </w:hyperlink>
      <w:r>
        <w:t xml:space="preserve">.</w:t>
      </w:r>
    </w:p>
    <w:p>
      <w:pPr>
        <w:numPr>
          <w:ilvl w:val="0"/>
          <w:numId w:val="1001"/>
        </w:numPr>
      </w:pPr>
      <w:r>
        <w:t xml:space="preserve">Iván Palomares Carrascosa,</w:t>
      </w:r>
      <w:r>
        <w:t xml:space="preserve"> </w:t>
      </w:r>
      <w:r>
        <w:rPr>
          <w:i/>
          <w:iCs/>
        </w:rPr>
        <w:t xml:space="preserve">Understanding Correlation and Causation</w:t>
      </w:r>
      <w:r>
        <w:t xml:space="preserve">, 2024,</w:t>
      </w:r>
      <w:r>
        <w:t xml:space="preserve"> </w:t>
      </w:r>
      <w:hyperlink r:id="rId102">
        <w:r>
          <w:rPr>
            <w:rStyle w:val="Hyperlink"/>
          </w:rPr>
          <w:t xml:space="preserve">https://www.statology.org/understanding-correlation-and-causation</w:t>
        </w:r>
      </w:hyperlink>
      <w:r>
        <w:t xml:space="preserve">; Jim Frost,</w:t>
      </w:r>
      <w:r>
        <w:t xml:space="preserve"> </w:t>
      </w:r>
      <w:r>
        <w:rPr>
          <w:i/>
          <w:iCs/>
        </w:rPr>
        <w:t xml:space="preserve">Correlation Vs Causation: Understanding the Differences</w:t>
      </w:r>
      <w:r>
        <w:t xml:space="preserve">, 2023,</w:t>
      </w:r>
      <w:r>
        <w:t xml:space="preserve"> </w:t>
      </w:r>
      <w:hyperlink r:id="rId103">
        <w:r>
          <w:rPr>
            <w:rStyle w:val="Hyperlink"/>
          </w:rPr>
          <w:t xml:space="preserve">https://statisticsbyjim.com/basics/correlation-vs-causation</w:t>
        </w:r>
      </w:hyperlink>
      <w:r>
        <w:t xml:space="preserve">.</w:t>
      </w:r>
    </w:p>
    <w:p>
      <w:pPr>
        <w:numPr>
          <w:ilvl w:val="0"/>
          <w:numId w:val="1001"/>
        </w:numPr>
      </w:pPr>
      <w:r>
        <w:t xml:space="preserve">David Goretzko et al.,</w:t>
      </w:r>
      <w:r>
        <w:t xml:space="preserve"> </w:t>
      </w:r>
      <w:r>
        <w:t xml:space="preserve">“Exploratory Factor Analysis: Current Use, Methodological Developments and Recommendations for Good Practice,”</w:t>
      </w:r>
      <w:r>
        <w:t xml:space="preserve"> </w:t>
      </w:r>
      <w:r>
        <w:rPr>
          <w:i/>
          <w:iCs/>
        </w:rPr>
        <w:t xml:space="preserve">Current Psychology</w:t>
      </w:r>
      <w:r>
        <w:t xml:space="preserve"> </w:t>
      </w:r>
      <w:r>
        <w:t xml:space="preserve">40, no. 6 (2021): 3510--3521,</w:t>
      </w:r>
      <w:r>
        <w:t xml:space="preserve"> </w:t>
      </w:r>
      <w:hyperlink r:id="rId104">
        <w:r>
          <w:rPr>
            <w:rStyle w:val="Hyperlink"/>
          </w:rPr>
          <w:t xml:space="preserve">https://doi.org/10.1007/s12144-019-00300-2</w:t>
        </w:r>
      </w:hyperlink>
      <w:r>
        <w:t xml:space="preserve">.</w:t>
      </w:r>
    </w:p>
    <w:p>
      <w:pPr>
        <w:numPr>
          <w:ilvl w:val="0"/>
          <w:numId w:val="1001"/>
        </w:numPr>
      </w:pPr>
      <w:r>
        <w:t xml:space="preserve">Brett Williams et al.,</w:t>
      </w:r>
      <w:r>
        <w:t xml:space="preserve"> </w:t>
      </w:r>
      <w:r>
        <w:t xml:space="preserve">“Exploratory Factor Analysis: A Five-Step Guide for Novices,”</w:t>
      </w:r>
      <w:r>
        <w:t xml:space="preserve"> </w:t>
      </w:r>
      <w:r>
        <w:rPr>
          <w:i/>
          <w:iCs/>
        </w:rPr>
        <w:t xml:space="preserve">Journal of Emergency Primary Health Care (JEPHC)</w:t>
      </w:r>
      <w:r>
        <w:t xml:space="preserve"> </w:t>
      </w:r>
      <w:r>
        <w:t xml:space="preserve">8, no. 3 (2010): 1447–4999,</w:t>
      </w:r>
      <w:r>
        <w:t xml:space="preserve"> </w:t>
      </w:r>
      <w:hyperlink r:id="rId105">
        <w:r>
          <w:rPr>
            <w:rStyle w:val="Hyperlink"/>
          </w:rPr>
          <w:t xml:space="preserve">https://journals.sagepub.com/doi/pdf/10.33151/ajp.8.3.93</w:t>
        </w:r>
      </w:hyperlink>
      <w:r>
        <w:t xml:space="preserve">.</w:t>
      </w:r>
    </w:p>
    <w:p>
      <w:pPr>
        <w:numPr>
          <w:ilvl w:val="0"/>
          <w:numId w:val="1001"/>
        </w:numPr>
      </w:pPr>
      <w:r>
        <w:t xml:space="preserve">Mirka Saarela and Susanne Jauhiainen,</w:t>
      </w:r>
      <w:r>
        <w:t xml:space="preserve"> </w:t>
      </w:r>
      <w:r>
        <w:t xml:space="preserve">“Comparison of Feature Importance Measures as Explanations for Classification Models,”</w:t>
      </w:r>
      <w:r>
        <w:t xml:space="preserve"> </w:t>
      </w:r>
      <w:r>
        <w:rPr>
          <w:i/>
          <w:iCs/>
        </w:rPr>
        <w:t xml:space="preserve">SN Applied Sciences</w:t>
      </w:r>
      <w:r>
        <w:t xml:space="preserve"> </w:t>
      </w:r>
      <w:r>
        <w:t xml:space="preserve">3, no. 272 (2021),</w:t>
      </w:r>
      <w:r>
        <w:t xml:space="preserve"> </w:t>
      </w:r>
      <w:hyperlink r:id="rId106">
        <w:r>
          <w:rPr>
            <w:rStyle w:val="Hyperlink"/>
          </w:rPr>
          <w:t xml:space="preserve">https://doi.org/10.1007/s42452-021-04148-9</w:t>
        </w:r>
      </w:hyperlink>
      <w:r>
        <w:t xml:space="preserve">.</w:t>
      </w:r>
    </w:p>
    <w:p>
      <w:pPr>
        <w:numPr>
          <w:ilvl w:val="0"/>
          <w:numId w:val="1001"/>
        </w:numPr>
      </w:pPr>
      <w:r>
        <w:t xml:space="preserve">Leo Breiman,</w:t>
      </w:r>
      <w:r>
        <w:t xml:space="preserve"> </w:t>
      </w:r>
      <w:r>
        <w:t xml:space="preserve">“Random Forests,”</w:t>
      </w:r>
      <w:r>
        <w:t xml:space="preserve"> </w:t>
      </w:r>
      <w:r>
        <w:rPr>
          <w:i/>
          <w:iCs/>
        </w:rPr>
        <w:t xml:space="preserve">Machine Learning</w:t>
      </w:r>
      <w:r>
        <w:t xml:space="preserve"> </w:t>
      </w:r>
      <w:r>
        <w:t xml:space="preserve">45, no. 1 (2001): 5–32,</w:t>
      </w:r>
      <w:r>
        <w:t xml:space="preserve"> </w:t>
      </w:r>
      <w:hyperlink r:id="rId107">
        <w:r>
          <w:rPr>
            <w:rStyle w:val="Hyperlink"/>
          </w:rPr>
          <w:t xml:space="preserve">https://doi.org/10.1023/A:1010933404324</w:t>
        </w:r>
      </w:hyperlink>
      <w:r>
        <w:t xml:space="preserve">.</w:t>
      </w:r>
    </w:p>
    <w:p>
      <w:pPr>
        <w:numPr>
          <w:ilvl w:val="0"/>
          <w:numId w:val="1001"/>
        </w:numPr>
      </w:pPr>
      <w:r>
        <w:t xml:space="preserve">Jerome H Friedman,</w:t>
      </w:r>
      <w:r>
        <w:t xml:space="preserve"> </w:t>
      </w:r>
      <w:r>
        <w:t xml:space="preserve">“Greedy Function Approximation: A Gradient Boosting Machine,”</w:t>
      </w:r>
      <w:r>
        <w:t xml:space="preserve"> </w:t>
      </w:r>
      <w:r>
        <w:rPr>
          <w:i/>
          <w:iCs/>
        </w:rPr>
        <w:t xml:space="preserve">Annals of Statistics</w:t>
      </w:r>
      <w:r>
        <w:t xml:space="preserve"> </w:t>
      </w:r>
      <w:r>
        <w:t xml:space="preserve">29, no. 5 (2001): 1189–232,</w:t>
      </w:r>
      <w:r>
        <w:t xml:space="preserve"> </w:t>
      </w:r>
      <w:hyperlink r:id="rId108">
        <w:r>
          <w:rPr>
            <w:rStyle w:val="Hyperlink"/>
          </w:rPr>
          <w:t xml:space="preserve">https://doi.org/10.1214/aos/1013203451</w:t>
        </w:r>
      </w:hyperlink>
      <w:r>
        <w:t xml:space="preserve">.</w:t>
      </w:r>
    </w:p>
    <w:p>
      <w:pPr>
        <w:numPr>
          <w:ilvl w:val="0"/>
          <w:numId w:val="1001"/>
        </w:numPr>
      </w:pPr>
      <w:r>
        <w:t xml:space="preserve">Zhengze Zhou and Giles Hooker,</w:t>
      </w:r>
      <w:r>
        <w:t xml:space="preserve"> </w:t>
      </w:r>
      <w:r>
        <w:t xml:space="preserve">“Unbiased Measurement of Feature Importance in Tree-Based Methods,”</w:t>
      </w:r>
      <w:r>
        <w:t xml:space="preserve"> </w:t>
      </w:r>
      <w:r>
        <w:rPr>
          <w:i/>
          <w:iCs/>
        </w:rPr>
        <w:t xml:space="preserve">ACM Transactions on Knowledge Discovery from Data (TKDD)</w:t>
      </w:r>
      <w:r>
        <w:t xml:space="preserve"> </w:t>
      </w:r>
      <w:r>
        <w:t xml:space="preserve">15, no. 2 (2021): 1–21,</w:t>
      </w:r>
      <w:r>
        <w:t xml:space="preserve"> </w:t>
      </w:r>
      <w:hyperlink r:id="rId109">
        <w:r>
          <w:rPr>
            <w:rStyle w:val="Hyperlink"/>
          </w:rPr>
          <w:t xml:space="preserve">https://doi.org/10.1145/3429445</w:t>
        </w:r>
      </w:hyperlink>
      <w:r>
        <w:t xml:space="preserve">.</w:t>
      </w:r>
    </w:p>
    <w:p>
      <w:pPr>
        <w:numPr>
          <w:ilvl w:val="0"/>
          <w:numId w:val="1001"/>
        </w:numPr>
      </w:pPr>
      <w:r>
        <w:t xml:space="preserve">Sumanta Basu et al.,</w:t>
      </w:r>
      <w:r>
        <w:t xml:space="preserve"> </w:t>
      </w:r>
      <w:r>
        <w:t xml:space="preserve">“Iterative Random Forests to Discover Predictive and Stable High-Order Interactions,”</w:t>
      </w:r>
      <w:r>
        <w:t xml:space="preserve"> </w:t>
      </w:r>
      <w:r>
        <w:rPr>
          <w:i/>
          <w:iCs/>
        </w:rPr>
        <w:t xml:space="preserve">Proceedings of the National Academy of Sciences of the United States of America</w:t>
      </w:r>
      <w:r>
        <w:t xml:space="preserve"> </w:t>
      </w:r>
      <w:r>
        <w:t xml:space="preserve">115, no. 8 (2018): 1943–48,</w:t>
      </w:r>
      <w:r>
        <w:t xml:space="preserve"> </w:t>
      </w:r>
      <w:hyperlink r:id="rId110">
        <w:r>
          <w:rPr>
            <w:rStyle w:val="Hyperlink"/>
          </w:rPr>
          <w:t xml:space="preserve">https://doi.org/10.1073/pnas.1711236115</w:t>
        </w:r>
      </w:hyperlink>
      <w:r>
        <w:t xml:space="preserve">.</w:t>
      </w:r>
    </w:p>
    <w:p>
      <w:pPr>
        <w:numPr>
          <w:ilvl w:val="0"/>
          <w:numId w:val="1001"/>
        </w:numPr>
      </w:pPr>
      <w:r>
        <w:t xml:space="preserve">Joe Kallas and Rebecca Napolitano,</w:t>
      </w:r>
      <w:r>
        <w:t xml:space="preserve"> </w:t>
      </w:r>
      <w:r>
        <w:t xml:space="preserve">“Understanding Critical Masonry Building Attributes Shaping Vulnerability to Blast Loads: Data-Driven Insights from the 2020 Beirut Explosion,”</w:t>
      </w:r>
      <w:r>
        <w:t xml:space="preserve"> </w:t>
      </w:r>
      <w:r>
        <w:rPr>
          <w:i/>
          <w:iCs/>
        </w:rPr>
        <w:t xml:space="preserve">International Journal of Disaster Risk Reduction</w:t>
      </w:r>
      <w:r>
        <w:t xml:space="preserve"> </w:t>
      </w:r>
      <w:r>
        <w:t xml:space="preserve">110 (2024): 104640,</w:t>
      </w:r>
      <w:r>
        <w:t xml:space="preserve"> </w:t>
      </w:r>
      <w:hyperlink r:id="rId111">
        <w:r>
          <w:rPr>
            <w:rStyle w:val="Hyperlink"/>
          </w:rPr>
          <w:t xml:space="preserve">https://doi.org/10.1016/j.ijdrr.2024.104640</w:t>
        </w:r>
      </w:hyperlink>
      <w:r>
        <w:t xml:space="preserve">.</w:t>
      </w:r>
    </w:p>
    <w:p>
      <w:pPr>
        <w:numPr>
          <w:ilvl w:val="0"/>
          <w:numId w:val="1001"/>
        </w:numPr>
      </w:pPr>
      <w:r>
        <w:t xml:space="preserve">Joe Kallas and Rebecca Napolitano,</w:t>
      </w:r>
      <w:r>
        <w:t xml:space="preserve"> </w:t>
      </w:r>
      <w:r>
        <w:t xml:space="preserve">“Understanding Key Building Attributes Influencing Flood Vulnerability in Masonry Structures After the 2023 Kakhovka Dam Breach in Ukraine,”</w:t>
      </w:r>
      <w:r>
        <w:t xml:space="preserve"> </w:t>
      </w:r>
      <w:r>
        <w:rPr>
          <w:i/>
          <w:iCs/>
        </w:rPr>
        <w:t xml:space="preserve">J. Comput. Cult. Herit.</w:t>
      </w:r>
      <w:r>
        <w:t xml:space="preserve"> </w:t>
      </w:r>
      <w:r>
        <w:t xml:space="preserve">(New York, NY, USA) 18, no. 3 (2025),</w:t>
      </w:r>
      <w:r>
        <w:t xml:space="preserve"> </w:t>
      </w:r>
      <w:hyperlink r:id="rId112">
        <w:r>
          <w:rPr>
            <w:rStyle w:val="Hyperlink"/>
          </w:rPr>
          <w:t xml:space="preserve">https://doi.org/10.1145/3744743</w:t>
        </w:r>
      </w:hyperlink>
      <w:r>
        <w:t xml:space="preserve">.</w:t>
      </w:r>
    </w:p>
    <w:p>
      <w:pPr>
        <w:numPr>
          <w:ilvl w:val="0"/>
          <w:numId w:val="1001"/>
        </w:numPr>
      </w:pPr>
      <w:r>
        <w:t xml:space="preserve">Joe Kallas and Rebecca Napolitano,</w:t>
      </w:r>
      <w:r>
        <w:t xml:space="preserve"> </w:t>
      </w:r>
      <w:r>
        <w:t xml:space="preserve">“Beyond Field Surveys: Understanding the Role of 3D Spatial Attributes for Data-Driven Blast Vulnerability Assessment of Masonry Buildings,”</w:t>
      </w:r>
      <w:r>
        <w:t xml:space="preserve"> </w:t>
      </w:r>
      <w:r>
        <w:rPr>
          <w:i/>
          <w:iCs/>
        </w:rPr>
        <w:t xml:space="preserve">International Journal of Disaster Risk Reduction</w:t>
      </w:r>
      <w:r>
        <w:t xml:space="preserve"> </w:t>
      </w:r>
      <w:r>
        <w:t xml:space="preserve">128 (2025): 105672,</w:t>
      </w:r>
      <w:r>
        <w:t xml:space="preserve"> </w:t>
      </w:r>
      <w:hyperlink r:id="rId113">
        <w:r>
          <w:rPr>
            <w:rStyle w:val="Hyperlink"/>
          </w:rPr>
          <w:t xml:space="preserve">https://doi.org/10.1016/j.ijdrr.2025.105672</w:t>
        </w:r>
      </w:hyperlink>
      <w:r>
        <w:t xml:space="preserve">.</w:t>
      </w:r>
    </w:p>
    <w:p>
      <w:pPr>
        <w:numPr>
          <w:ilvl w:val="0"/>
          <w:numId w:val="1001"/>
        </w:numPr>
      </w:pPr>
      <w:r>
        <w:t xml:space="preserve">Jayita Gulati,</w:t>
      </w:r>
      <w:r>
        <w:t xml:space="preserve"> </w:t>
      </w:r>
      <w:r>
        <w:rPr>
          <w:i/>
          <w:iCs/>
        </w:rPr>
        <w:t xml:space="preserve">Logistic Vs SVM Vs Random Forest: Which One Wins for Small Datasets?</w:t>
      </w:r>
      <w:r>
        <w:t xml:space="preserve">, 2025,</w:t>
      </w:r>
      <w:r>
        <w:t xml:space="preserve"> </w:t>
      </w:r>
      <w:hyperlink r:id="rId114">
        <w:r>
          <w:rPr>
            <w:rStyle w:val="Hyperlink"/>
          </w:rPr>
          <w:t xml:space="preserve">https://machinelearningmastery.com/logistic-vs-svm-vs-random-forest-which-one-wins-for-small-datasets/</w:t>
        </w:r>
      </w:hyperlink>
      <w:r>
        <w:t xml:space="preserve">; Fiona K. Ewald et al.,</w:t>
      </w:r>
      <w:r>
        <w:t xml:space="preserve"> </w:t>
      </w:r>
      <w:r>
        <w:rPr>
          <w:i/>
          <w:iCs/>
        </w:rPr>
        <w:t xml:space="preserve">A Guide to Feature Importance Methods for Scientific Inference</w:t>
      </w:r>
      <w:r>
        <w:t xml:space="preserve">, arXiv preprint arXiv:2404.12862, 2024,</w:t>
      </w:r>
      <w:r>
        <w:t xml:space="preserve"> </w:t>
      </w:r>
      <w:hyperlink r:id="rId115">
        <w:r>
          <w:rPr>
            <w:rStyle w:val="Hyperlink"/>
          </w:rPr>
          <w:t xml:space="preserve">https://arxiv.org/abs/2404.12862</w:t>
        </w:r>
      </w:hyperlink>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 2025,</w:t>
      </w:r>
      <w:r>
        <w:t xml:space="preserve"> </w:t>
      </w:r>
      <w:hyperlink r:id="rId116">
        <w:r>
          <w:rPr>
            <w:rStyle w:val="Hyperlink"/>
          </w:rPr>
          <w:t xml:space="preserve">https://online.stat.psu.edu/stat462/node/180</w:t>
        </w:r>
      </w:hyperlink>
      <w:r>
        <w:t xml:space="preserve">.</w:t>
      </w:r>
    </w:p>
    <w:p>
      <w:pPr>
        <w:numPr>
          <w:ilvl w:val="0"/>
          <w:numId w:val="1001"/>
        </w:numPr>
      </w:pPr>
      <w:r>
        <w:t xml:space="preserve">Meenu Bhagat and Brijesh Bakariya,</w:t>
      </w:r>
      <w:r>
        <w:t xml:space="preserve"> </w:t>
      </w:r>
      <w:r>
        <w:t xml:space="preserve">“A Comprehensive Review of Cross-Validation Techniques in Machine Learning,”</w:t>
      </w:r>
      <w:r>
        <w:t xml:space="preserve"> </w:t>
      </w:r>
      <w:r>
        <w:rPr>
          <w:i/>
          <w:iCs/>
        </w:rPr>
        <w:t xml:space="preserve">International Journal of Smart and Archived Technology</w:t>
      </w:r>
      <w:r>
        <w:t xml:space="preserve"> </w:t>
      </w:r>
      <w:r>
        <w:t xml:space="preserve">16 (2025): 2229–7677,</w:t>
      </w:r>
      <w:r>
        <w:t xml:space="preserve"> </w:t>
      </w:r>
      <w:hyperlink r:id="rId117">
        <w:r>
          <w:rPr>
            <w:rStyle w:val="Hyperlink"/>
          </w:rPr>
          <w:t xml:space="preserve">https://doi.org/10.1234/ijsat.2025.01.1305</w:t>
        </w:r>
      </w:hyperlink>
      <w:r>
        <w:t xml:space="preserve">.</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_rels/footnotes.xml.rels><?xml version="1.0" encoding="UTF-8"?><Relationships xmlns="http://schemas.openxmlformats.org/package/2006/relationships"><Relationship Type="http://schemas.openxmlformats.org/officeDocument/2006/relationships/hyperlink" Id="rId115" Target="https://arxiv.org/abs/2404.12862" TargetMode="External" /><Relationship Type="http://schemas.openxmlformats.org/officeDocument/2006/relationships/hyperlink" Id="rId95" Target="https://colab.research.google.com" TargetMode="External" /><Relationship Type="http://schemas.openxmlformats.org/officeDocument/2006/relationships/hyperlink" Id="rId86" Target="https://colab.research.google.com/github/rkn2/practicePointFeatureImp/blob/main/00_data_preparation.ipynb" TargetMode="External" /><Relationship Type="http://schemas.openxmlformats.org/officeDocument/2006/relationships/hyperlink" Id="rId87" Target="https://colab.research.google.com/github/rkn2/practicePointFeatureImp/blob/main/01_simple_statistics.ipynb" TargetMode="External" /><Relationship Type="http://schemas.openxmlformats.org/officeDocument/2006/relationships/hyperlink" Id="rId88" Target="https://colab.research.google.com/github/rkn2/practicePointFeatureImp/blob/main/02_factor_analysis.ipynb" TargetMode="External" /><Relationship Type="http://schemas.openxmlformats.org/officeDocument/2006/relationships/hyperlink" Id="rId89" Target="https://colab.research.google.com/github/rkn2/practicePointFeatureImp/blob/main/03_feature_importance.ipynb" TargetMode="External" /><Relationship Type="http://schemas.openxmlformats.org/officeDocument/2006/relationships/hyperlink" Id="rId90" Target="https://colab.research.google.com/github/rkn2/practicePointFeatureImp/blob/main/04_visualization.ipynb" TargetMode="External" /><Relationship Type="http://schemas.openxmlformats.org/officeDocument/2006/relationships/hyperlink" Id="rId98" Target="https://computing.llnl.gov/sites/default/files/148494.pdf" TargetMode="External" /><Relationship Type="http://schemas.openxmlformats.org/officeDocument/2006/relationships/hyperlink" Id="rId104" Target="https://doi.org/10.1007/s12144-019-00300-2" TargetMode="External" /><Relationship Type="http://schemas.openxmlformats.org/officeDocument/2006/relationships/hyperlink" Id="rId106" Target="https://doi.org/10.1007/s42452-021-04148-9" TargetMode="External" /><Relationship Type="http://schemas.openxmlformats.org/officeDocument/2006/relationships/hyperlink" Id="rId111" Target="https://doi.org/10.1016/j.ijdrr.2024.104640" TargetMode="External" /><Relationship Type="http://schemas.openxmlformats.org/officeDocument/2006/relationships/hyperlink" Id="rId113" Target="https://doi.org/10.1016/j.ijdrr.2025.105672" TargetMode="External" /><Relationship Type="http://schemas.openxmlformats.org/officeDocument/2006/relationships/hyperlink" Id="rId107" Target="https://doi.org/10.1023/A:1010933404324" TargetMode="External" /><Relationship Type="http://schemas.openxmlformats.org/officeDocument/2006/relationships/hyperlink" Id="rId110" Target="https://doi.org/10.1073/pnas.1711236115" TargetMode="External" /><Relationship Type="http://schemas.openxmlformats.org/officeDocument/2006/relationships/hyperlink" Id="rId101" Target="https://doi.org/10.1093/bib/bbq011" TargetMode="External" /><Relationship Type="http://schemas.openxmlformats.org/officeDocument/2006/relationships/hyperlink" Id="rId109" Target="https://doi.org/10.1145/3429445" TargetMode="External" /><Relationship Type="http://schemas.openxmlformats.org/officeDocument/2006/relationships/hyperlink" Id="rId112" Target="https://doi.org/10.1145/3744743" TargetMode="External" /><Relationship Type="http://schemas.openxmlformats.org/officeDocument/2006/relationships/hyperlink" Id="rId100" Target="https://doi.org/10.1186/s12859-016-0900-5" TargetMode="External" /><Relationship Type="http://schemas.openxmlformats.org/officeDocument/2006/relationships/hyperlink" Id="rId108" Target="https://doi.org/10.1214/aos/1013203451" TargetMode="External" /><Relationship Type="http://schemas.openxmlformats.org/officeDocument/2006/relationships/hyperlink" Id="rId117" Target="https://doi.org/10.1234/ijsat.2025.01.1305" TargetMode="External" /><Relationship Type="http://schemas.openxmlformats.org/officeDocument/2006/relationships/hyperlink" Id="rId92" Target="https://doi.org/10.2307/3377500" TargetMode="External" /><Relationship Type="http://schemas.openxmlformats.org/officeDocument/2006/relationships/hyperlink" Id="rId97" Target="https://doi.org/10.7717/peerj-cs.3025" TargetMode="External" /><Relationship Type="http://schemas.openxmlformats.org/officeDocument/2006/relationships/hyperlink" Id="rId85" Target="https://github.com/rkn2/practicePointFeatureImp" TargetMode="External" /><Relationship Type="http://schemas.openxmlformats.org/officeDocument/2006/relationships/hyperlink" Id="rId105" Target="https://journals.sagepub.com/doi/pdf/10.33151/ajp.8.3.93" TargetMode="External" /><Relationship Type="http://schemas.openxmlformats.org/officeDocument/2006/relationships/hyperlink" Id="rId114" Target="https://machinelearningmastery.com/logistic-vs-svm-vs-random-forest-which-one-wins-for-small-datasets/" TargetMode="External" /><Relationship Type="http://schemas.openxmlformats.org/officeDocument/2006/relationships/hyperlink" Id="rId116" Target="https://online.stat.psu.edu/stat462/node/180" TargetMode="External" /><Relationship Type="http://schemas.openxmlformats.org/officeDocument/2006/relationships/hyperlink" Id="rId94" Target="https://ourworldindata.org/scaling-up-ai" TargetMode="External" /><Relationship Type="http://schemas.openxmlformats.org/officeDocument/2006/relationships/hyperlink" Id="rId103" Target="https://statisticsbyjim.com/basics/correlation-vs-causation" TargetMode="External" /><Relationship Type="http://schemas.openxmlformats.org/officeDocument/2006/relationships/hyperlink" Id="rId93" Target="https://whc.unesco.org/en/documents/134872" TargetMode="External" /><Relationship Type="http://schemas.openxmlformats.org/officeDocument/2006/relationships/hyperlink" Id="rId96" Target="https://www.neurond.com/blog/no-code-machine-learning-platforms" TargetMode="External" /><Relationship Type="http://schemas.openxmlformats.org/officeDocument/2006/relationships/hyperlink" Id="rId102" Target="https://www.statology.org/understanding-correlation-and-causation" TargetMode="External" /><Relationship Type="http://schemas.openxmlformats.org/officeDocument/2006/relationships/hyperlink" Id="rId99" Target="https://www.theanalysisfactor.com/sample-size-needed-for-factor-analysi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2025-11-26T18:48:18Z</dcterms:created>
  <dcterms:modified xsi:type="dcterms:W3CDTF">2025-11-26T18:48:18Z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bib_clean.bib</vt:lpwstr>
  </property>
  <property fmtid="{D5CDD505-2E9C-101B-9397-08002B2CF9AE}" pid="3" name="csl">
    <vt:lpwstr>chicago-fullnote-bibliography.csl</vt:lpwstr>
  </property>
  <property fmtid="{D5CDD505-2E9C-101B-9397-08002B2CF9AE}" pid="4" name="date">
    <vt:lpwstr>December 2025</vt:lpwstr>
  </property>
  <property fmtid="{D5CDD505-2E9C-101B-9397-08002B2CF9AE}" pid="5" name="suppress-bibliography">
    <vt:lpwstr>True</vt:lpwstr>
  </property>
</Properties>
</file>