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Employer Evaluation Framework</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Assessment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Employer feedback is one of three evidence sources for the Professional Engagement grade (25% of the 20% component). Employers evaluate the student team — not individuals — at two points: mid-project (Week 8) and end-of-project (Week 15). The two surveys are deliberately differentiated: the mid-project survey is brief and formative, generating actionable feedback that is shared with the team; the end-of-project survey is fuller and summative, contributing to final grade calculation.</w:t>
      </w:r>
    </w:p>
    <w:p>
      <w:pPr>
        <w:spacing w:before="0" w:after="120" w:line="276" w:lineRule="auto"/>
      </w:pPr>
      <w:r>
        <w:rPr>
          <w:rFonts w:ascii="DM Sans" w:hAnsi="DM Sans" w:cs="DM Sans"/>
          <w:b w:val="0"/>
          <w:i w:val="0"/>
          <w:color w:val="050C2A"/>
          <w:sz w:val="20"/>
          <w:u w:val="none"/>
        </w:rPr>
        <w:t>Employer feedback operates at the team level. Employers interact with the team as a unit through touchpoints and email communication. They observe collective professionalism and responsiveness but cannot reliably assess individual contributions. All team members receive the same base employer score, which can be modulated by peer evaluation patterns when those patterns indicate uneven contribution.</w:t>
      </w:r>
    </w:p>
    <w:p>
      <w:pPr>
        <w:spacing w:before="0" w:after="120" w:line="276" w:lineRule="auto"/>
      </w:pPr>
      <w:r>
        <w:rPr>
          <w:rFonts w:ascii="DM Sans" w:hAnsi="DM Sans" w:cs="DM Sans"/>
          <w:b w:val="0"/>
          <w:i w:val="0"/>
          <w:color w:val="050C2A"/>
          <w:sz w:val="20"/>
          <w:u w:val="none"/>
        </w:rPr>
        <w:t>This document specifies the survey instruments, competency alignment, scoring mechanics, feedback sharing process, and design rationale for both evaluation points.</w:t>
      </w:r>
    </w:p>
    <w:p>
      <w:pPr>
        <w:spacing w:before="280" w:after="100"/>
      </w:pPr>
      <w:r>
        <w:rPr>
          <w:rFonts w:ascii="DM Sans" w:hAnsi="DM Sans" w:cs="DM Sans"/>
          <w:b/>
          <w:i w:val="0"/>
          <w:color w:val="050C2A"/>
          <w:sz w:val="28"/>
          <w:u w:val="none"/>
        </w:rPr>
        <w:t>Design Principles</w:t>
      </w:r>
    </w:p>
    <w:p>
      <w:pPr>
        <w:spacing w:before="0" w:after="120" w:line="276" w:lineRule="auto"/>
      </w:pPr>
      <w:r>
        <w:rPr>
          <w:rFonts w:ascii="DM Sans" w:hAnsi="DM Sans" w:cs="DM Sans"/>
          <w:b/>
          <w:i w:val="0"/>
          <w:color w:val="050C2A"/>
          <w:sz w:val="20"/>
          <w:u w:val="none"/>
        </w:rPr>
        <w:t>Respect the employer's time.</w:t>
      </w:r>
      <w:r>
        <w:rPr>
          <w:rFonts w:ascii="DM Sans" w:hAnsi="DM Sans" w:cs="DM Sans"/>
          <w:b w:val="0"/>
          <w:i w:val="0"/>
          <w:color w:val="050C2A"/>
          <w:sz w:val="20"/>
          <w:u w:val="none"/>
        </w:rPr>
        <w:t xml:space="preserve"> Employers are already contributing 7–8 hours over 15 weeks through synchronous touchpoints, email responsiveness, and written feedback. The surveys must be fast — 3 minutes for mid-project, 5 minutes for end-of-project. Every question must earn its place.</w:t>
      </w:r>
    </w:p>
    <w:p>
      <w:pPr>
        <w:spacing w:before="0" w:after="120" w:line="276" w:lineRule="auto"/>
      </w:pPr>
      <w:r>
        <w:rPr>
          <w:rFonts w:ascii="DM Sans" w:hAnsi="DM Sans" w:cs="DM Sans"/>
          <w:b/>
          <w:i w:val="0"/>
          <w:color w:val="050C2A"/>
          <w:sz w:val="20"/>
          <w:u w:val="none"/>
        </w:rPr>
        <w:t>Ask only what employers can see.</w:t>
      </w:r>
      <w:r>
        <w:rPr>
          <w:rFonts w:ascii="DM Sans" w:hAnsi="DM Sans" w:cs="DM Sans"/>
          <w:b w:val="0"/>
          <w:i w:val="0"/>
          <w:color w:val="050C2A"/>
          <w:sz w:val="20"/>
          <w:u w:val="none"/>
        </w:rPr>
        <w:t xml:space="preserve"> Employers observe team-level communication, preparation, and responsiveness. They cannot see internal team dynamics, individual work distribution, or day-to-day collaboration patterns. The survey dimensions are scoped exclusively to what employers experience directly in meetings and email interactions.</w:t>
      </w:r>
    </w:p>
    <w:p>
      <w:pPr>
        <w:spacing w:before="0" w:after="120" w:line="276" w:lineRule="auto"/>
      </w:pPr>
      <w:r>
        <w:rPr>
          <w:rFonts w:ascii="DM Sans" w:hAnsi="DM Sans" w:cs="DM Sans"/>
          <w:b/>
          <w:i w:val="0"/>
          <w:color w:val="050C2A"/>
          <w:sz w:val="20"/>
          <w:u w:val="none"/>
        </w:rPr>
        <w:t>Competency-aligned dimensions.</w:t>
      </w:r>
      <w:r>
        <w:rPr>
          <w:rFonts w:ascii="DM Sans" w:hAnsi="DM Sans" w:cs="DM Sans"/>
          <w:b w:val="0"/>
          <w:i w:val="0"/>
          <w:color w:val="050C2A"/>
          <w:sz w:val="20"/>
          <w:u w:val="none"/>
        </w:rPr>
        <w:t xml:space="preserve"> Each survey dimension maps to a specific NACE competency subskill, ensuring the employer evaluation measures what the course claims to develop and contributes meaningfully to the competency evidence architecture.</w:t>
      </w:r>
    </w:p>
    <w:p>
      <w:pPr>
        <w:spacing w:before="0" w:after="120" w:line="276" w:lineRule="auto"/>
      </w:pPr>
      <w:r>
        <w:rPr>
          <w:rFonts w:ascii="DM Sans" w:hAnsi="DM Sans" w:cs="DM Sans"/>
          <w:b/>
          <w:i w:val="0"/>
          <w:color w:val="050C2A"/>
          <w:sz w:val="20"/>
          <w:u w:val="none"/>
        </w:rPr>
        <w:t>BARS over Likert.</w:t>
      </w:r>
      <w:r>
        <w:rPr>
          <w:rFonts w:ascii="DM Sans" w:hAnsi="DM Sans" w:cs="DM Sans"/>
          <w:b w:val="0"/>
          <w:i w:val="0"/>
          <w:color w:val="050C2A"/>
          <w:sz w:val="20"/>
          <w:u w:val="none"/>
        </w:rPr>
        <w:t xml:space="preserve"> Behaviorally Anchored Rating Scales reduce the cognitive load on employers (they pick the description that matches their experience rather than assigning an abstract number) and produce more reliable data across employers with different standards. An employer who tends toward generous ratings still has to affirm a specific behavioral description.</w:t>
      </w:r>
    </w:p>
    <w:p>
      <w:pPr>
        <w:spacing w:before="0" w:after="120" w:line="276" w:lineRule="auto"/>
      </w:pPr>
      <w:r>
        <w:rPr>
          <w:rFonts w:ascii="DM Sans" w:hAnsi="DM Sans" w:cs="DM Sans"/>
          <w:b/>
          <w:i w:val="0"/>
          <w:color w:val="050C2A"/>
          <w:sz w:val="20"/>
          <w:u w:val="none"/>
        </w:rPr>
        <w:t>Differentiated instruments for differentiated purposes.</w:t>
      </w:r>
      <w:r>
        <w:rPr>
          <w:rFonts w:ascii="DM Sans" w:hAnsi="DM Sans" w:cs="DM Sans"/>
          <w:b w:val="0"/>
          <w:i w:val="0"/>
          <w:color w:val="050C2A"/>
          <w:sz w:val="20"/>
          <w:u w:val="none"/>
        </w:rPr>
        <w:t xml:space="preserve"> The mid-project survey is formative — brief, development-oriented, with results shared to the team for course correction. The end-of-project survey is summative — fuller, evaluative, contributing to the final Professional Engagement score. Using the same instrument at both points would underserve both functions.</w:t>
      </w:r>
    </w:p>
    <w:p>
      <w:pPr>
        <w:spacing w:before="0" w:after="120" w:line="276" w:lineRule="auto"/>
      </w:pPr>
      <w:r>
        <w:rPr>
          <w:rFonts w:ascii="DM Sans" w:hAnsi="DM Sans" w:cs="DM Sans"/>
          <w:b/>
          <w:i w:val="0"/>
          <w:color w:val="050C2A"/>
          <w:sz w:val="20"/>
          <w:u w:val="none"/>
        </w:rPr>
        <w:t>Closed feedback loop.</w:t>
      </w:r>
      <w:r>
        <w:rPr>
          <w:rFonts w:ascii="DM Sans" w:hAnsi="DM Sans" w:cs="DM Sans"/>
          <w:b w:val="0"/>
          <w:i w:val="0"/>
          <w:color w:val="050C2A"/>
          <w:sz w:val="20"/>
          <w:u w:val="none"/>
        </w:rPr>
        <w:t xml:space="preserve"> Mid-project survey results are shared with the team and processed in the Week 9 Team Processing Session alongside peer evaluation feedback. Collecting employer input without giving students the opportunity to act on it wastes the formative potential of the mid-project touchpoint.</w:t>
      </w:r>
    </w:p>
    <w:p>
      <w:pPr>
        <w:spacing w:before="280" w:after="100"/>
      </w:pPr>
      <w:r>
        <w:rPr>
          <w:rFonts w:ascii="DM Sans" w:hAnsi="DM Sans" w:cs="DM Sans"/>
          <w:b/>
          <w:i w:val="0"/>
          <w:color w:val="050C2A"/>
          <w:sz w:val="28"/>
          <w:u w:val="none"/>
        </w:rPr>
        <w:t>Competency Alignment</w:t>
      </w:r>
    </w:p>
    <w:p>
      <w:pPr>
        <w:spacing w:before="0" w:after="120" w:line="276" w:lineRule="auto"/>
      </w:pPr>
      <w:r>
        <w:rPr>
          <w:rFonts w:ascii="DM Sans" w:hAnsi="DM Sans" w:cs="DM Sans"/>
          <w:b w:val="0"/>
          <w:i w:val="0"/>
          <w:color w:val="050C2A"/>
          <w:sz w:val="20"/>
          <w:u w:val="none"/>
        </w:rPr>
        <w:t>The employer evaluation dimensions map to competencies the employer can directly observe: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481"/>
            <w:shd w:fill="FF7C0A" w:val="clear"/>
            <w:vAlign w:val="center"/>
          </w:tcPr>
          <w:p>
            <w:pPr>
              <w:jc w:val="left"/>
              <w:spacing w:before="40" w:after="40"/>
            </w:pPr>
            <w:r>
              <w:rPr>
                <w:rFonts w:ascii="DM Sans" w:hAnsi="DM Sans" w:cs="DM Sans"/>
                <w:b/>
                <w:i w:val="0"/>
                <w:color w:val="FFFFFF"/>
                <w:sz w:val="20"/>
                <w:u w:val="none"/>
              </w:rPr>
              <w:t>Survey Dimension</w:t>
            </w:r>
          </w:p>
        </w:tc>
        <w:tc>
          <w:tcPr>
            <w:tcW w:type="dxa" w:w="1943"/>
            <w:shd w:fill="FF7C0A" w:val="clear"/>
            <w:vAlign w:val="center"/>
          </w:tcPr>
          <w:p>
            <w:pPr>
              <w:jc w:val="left"/>
              <w:spacing w:before="40" w:after="40"/>
            </w:pPr>
            <w:r>
              <w:rPr>
                <w:rFonts w:ascii="DM Sans" w:hAnsi="DM Sans" w:cs="DM Sans"/>
                <w:b/>
                <w:i w:val="0"/>
                <w:color w:val="FFFFFF"/>
                <w:sz w:val="20"/>
                <w:u w:val="none"/>
              </w:rPr>
              <w:t>NACE Competency</w:t>
            </w:r>
          </w:p>
        </w:tc>
        <w:tc>
          <w:tcPr>
            <w:tcW w:type="dxa" w:w="2207"/>
            <w:shd w:fill="FF7C0A" w:val="clear"/>
            <w:vAlign w:val="center"/>
          </w:tcPr>
          <w:p>
            <w:pPr>
              <w:jc w:val="left"/>
              <w:spacing w:before="40" w:after="40"/>
            </w:pPr>
            <w:r>
              <w:rPr>
                <w:rFonts w:ascii="DM Sans" w:hAnsi="DM Sans" w:cs="DM Sans"/>
                <w:b/>
                <w:i w:val="0"/>
                <w:color w:val="FFFFFF"/>
                <w:sz w:val="20"/>
                <w:u w:val="none"/>
              </w:rPr>
              <w:t>Subskill</w:t>
            </w:r>
          </w:p>
        </w:tc>
        <w:tc>
          <w:tcPr>
            <w:tcW w:type="dxa" w:w="3729"/>
            <w:shd w:fill="FF7C0A" w:val="clear"/>
            <w:vAlign w:val="center"/>
          </w:tcPr>
          <w:p>
            <w:pPr>
              <w:jc w:val="left"/>
              <w:spacing w:before="40" w:after="40"/>
            </w:pPr>
            <w:r>
              <w:rPr>
                <w:rFonts w:ascii="DM Sans" w:hAnsi="DM Sans" w:cs="DM Sans"/>
                <w:b/>
                <w:i w:val="0"/>
                <w:color w:val="FFFFFF"/>
                <w:sz w:val="20"/>
                <w:u w:val="none"/>
              </w:rPr>
              <w:t>Framework Definition</w:t>
            </w:r>
          </w:p>
        </w:tc>
      </w:tr>
      <w:tr>
        <w:tc>
          <w:tcPr>
            <w:tcW w:type="dxa" w:w="1481"/>
            <w:vAlign w:val="center"/>
          </w:tcPr>
          <w:p>
            <w:pPr>
              <w:spacing w:before="30" w:after="30"/>
            </w:pPr>
            <w:r>
              <w:rPr>
                <w:rFonts w:ascii="DM Sans" w:hAnsi="DM Sans" w:cs="DM Sans"/>
                <w:b/>
                <w:i w:val="0"/>
                <w:color w:val="050C2A"/>
                <w:sz w:val="20"/>
                <w:u w:val="none"/>
              </w:rPr>
              <w:t>Communication</w:t>
            </w:r>
          </w:p>
        </w:tc>
        <w:tc>
          <w:tcPr>
            <w:tcW w:type="dxa" w:w="1943"/>
            <w:vAlign w:val="center"/>
          </w:tcPr>
          <w:p>
            <w:pPr>
              <w:spacing w:before="30" w:after="30"/>
            </w:pPr>
            <w:r>
              <w:rPr>
                <w:rFonts w:ascii="DM Sans" w:hAnsi="DM Sans" w:cs="DM Sans"/>
                <w:b w:val="0"/>
                <w:i w:val="0"/>
                <w:color w:val="050C2A"/>
                <w:sz w:val="20"/>
                <w:u w:val="none"/>
              </w:rPr>
              <w:t>Communication</w:t>
            </w:r>
          </w:p>
        </w:tc>
        <w:tc>
          <w:tcPr>
            <w:tcW w:type="dxa" w:w="2207"/>
            <w:vAlign w:val="center"/>
          </w:tcPr>
          <w:p>
            <w:pPr>
              <w:spacing w:before="30" w:after="30"/>
            </w:pPr>
            <w:r>
              <w:rPr>
                <w:rFonts w:ascii="DM Sans" w:hAnsi="DM Sans" w:cs="DM Sans"/>
                <w:b w:val="0"/>
                <w:i w:val="0"/>
                <w:color w:val="050C2A"/>
                <w:sz w:val="20"/>
                <w:u w:val="none"/>
              </w:rPr>
              <w:t>Professional Correspondence</w:t>
            </w:r>
          </w:p>
        </w:tc>
        <w:tc>
          <w:tcPr>
            <w:tcW w:type="dxa" w:w="3729"/>
            <w:vAlign w:val="center"/>
          </w:tcPr>
          <w:p>
            <w:pPr>
              <w:spacing w:before="30" w:after="30"/>
            </w:pPr>
            <w:r>
              <w:rPr>
                <w:rFonts w:ascii="DM Sans" w:hAnsi="DM Sans" w:cs="DM Sans"/>
                <w:b w:val="0"/>
                <w:i w:val="0"/>
                <w:color w:val="050C2A"/>
                <w:sz w:val="20"/>
                <w:u w:val="none"/>
              </w:rPr>
              <w:t>Communicate promptly, professionally, and appropriately via email and other channels</w:t>
            </w:r>
          </w:p>
        </w:tc>
      </w:tr>
      <w:tr>
        <w:tc>
          <w:tcPr>
            <w:tcW w:type="dxa" w:w="1481"/>
            <w:shd w:fill="F5F5F5" w:val="clear"/>
            <w:vAlign w:val="center"/>
          </w:tcPr>
          <w:p>
            <w:pPr>
              <w:spacing w:before="30" w:after="30"/>
            </w:pPr>
            <w:r>
              <w:rPr>
                <w:rFonts w:ascii="DM Sans" w:hAnsi="DM Sans" w:cs="DM Sans"/>
                <w:b/>
                <w:i w:val="0"/>
                <w:color w:val="050C2A"/>
                <w:sz w:val="20"/>
                <w:u w:val="none"/>
              </w:rPr>
              <w:t>Preparedness</w:t>
            </w:r>
          </w:p>
        </w:tc>
        <w:tc>
          <w:tcPr>
            <w:tcW w:type="dxa" w:w="1943"/>
            <w:shd w:fill="F5F5F5" w:val="clear"/>
            <w:vAlign w:val="center"/>
          </w:tcPr>
          <w:p>
            <w:pPr>
              <w:spacing w:before="30" w:after="30"/>
            </w:pPr>
            <w:r>
              <w:rPr>
                <w:rFonts w:ascii="DM Sans" w:hAnsi="DM Sans" w:cs="DM Sans"/>
                <w:b w:val="0"/>
                <w:i w:val="0"/>
                <w:color w:val="050C2A"/>
                <w:sz w:val="20"/>
                <w:u w:val="none"/>
              </w:rPr>
              <w:t>Professionalism</w:t>
            </w:r>
          </w:p>
        </w:tc>
        <w:tc>
          <w:tcPr>
            <w:tcW w:type="dxa" w:w="2207"/>
            <w:shd w:fill="F5F5F5" w:val="clear"/>
            <w:vAlign w:val="center"/>
          </w:tcPr>
          <w:p>
            <w:pPr>
              <w:spacing w:before="30" w:after="30"/>
            </w:pPr>
            <w:r>
              <w:rPr>
                <w:rFonts w:ascii="DM Sans" w:hAnsi="DM Sans" w:cs="DM Sans"/>
                <w:b w:val="0"/>
                <w:i w:val="0"/>
                <w:color w:val="050C2A"/>
                <w:sz w:val="20"/>
                <w:u w:val="none"/>
              </w:rPr>
              <w:t>Dependability</w:t>
            </w:r>
          </w:p>
        </w:tc>
        <w:tc>
          <w:tcPr>
            <w:tcW w:type="dxa" w:w="3729"/>
            <w:shd w:fill="F5F5F5" w:val="clear"/>
            <w:vAlign w:val="center"/>
          </w:tcPr>
          <w:p>
            <w:pPr>
              <w:spacing w:before="30" w:after="30"/>
            </w:pPr>
            <w:r>
              <w:rPr>
                <w:rFonts w:ascii="DM Sans" w:hAnsi="DM Sans" w:cs="DM Sans"/>
                <w:b w:val="0"/>
                <w:i w:val="0"/>
                <w:color w:val="050C2A"/>
                <w:sz w:val="20"/>
                <w:u w:val="none"/>
              </w:rPr>
              <w:t>Meet deadlines consistently; show up prepared for meetings and commitments</w:t>
            </w:r>
          </w:p>
        </w:tc>
      </w:tr>
      <w:tr>
        <w:tc>
          <w:tcPr>
            <w:tcW w:type="dxa" w:w="1481"/>
            <w:vAlign w:val="center"/>
          </w:tcPr>
          <w:p>
            <w:pPr>
              <w:spacing w:before="30" w:after="30"/>
            </w:pPr>
            <w:r>
              <w:rPr>
                <w:rFonts w:ascii="DM Sans" w:hAnsi="DM Sans" w:cs="DM Sans"/>
                <w:b/>
                <w:i w:val="0"/>
                <w:color w:val="050C2A"/>
                <w:sz w:val="20"/>
                <w:u w:val="none"/>
              </w:rPr>
              <w:t>Responsiveness</w:t>
            </w:r>
          </w:p>
        </w:tc>
        <w:tc>
          <w:tcPr>
            <w:tcW w:type="dxa" w:w="1943"/>
            <w:vAlign w:val="center"/>
          </w:tcPr>
          <w:p>
            <w:pPr>
              <w:spacing w:before="30" w:after="30"/>
            </w:pPr>
            <w:r>
              <w:rPr>
                <w:rFonts w:ascii="DM Sans" w:hAnsi="DM Sans" w:cs="DM Sans"/>
                <w:b w:val="0"/>
                <w:i w:val="0"/>
                <w:color w:val="050C2A"/>
                <w:sz w:val="20"/>
                <w:u w:val="none"/>
              </w:rPr>
              <w:t>Professionalism / Communication</w:t>
            </w:r>
          </w:p>
        </w:tc>
        <w:tc>
          <w:tcPr>
            <w:tcW w:type="dxa" w:w="2207"/>
            <w:vAlign w:val="center"/>
          </w:tcPr>
          <w:p>
            <w:pPr>
              <w:spacing w:before="30" w:after="30"/>
            </w:pPr>
            <w:r>
              <w:rPr>
                <w:rFonts w:ascii="DM Sans" w:hAnsi="DM Sans" w:cs="DM Sans"/>
                <w:b w:val="0"/>
                <w:i w:val="0"/>
                <w:color w:val="050C2A"/>
                <w:sz w:val="20"/>
                <w:u w:val="none"/>
              </w:rPr>
              <w:t>Initiative + Professional Correspondence</w:t>
            </w:r>
          </w:p>
        </w:tc>
        <w:tc>
          <w:tcPr>
            <w:tcW w:type="dxa" w:w="3729"/>
            <w:vAlign w:val="center"/>
          </w:tcPr>
          <w:p>
            <w:pPr>
              <w:spacing w:before="30" w:after="30"/>
            </w:pPr>
            <w:r>
              <w:rPr>
                <w:rFonts w:ascii="DM Sans" w:hAnsi="DM Sans" w:cs="DM Sans"/>
                <w:b w:val="0"/>
                <w:i w:val="0"/>
                <w:color w:val="050C2A"/>
                <w:sz w:val="20"/>
                <w:u w:val="none"/>
              </w:rPr>
              <w:t>Identify next steps without waiting for direction; surface problems early; communicate promptly and professionally</w:t>
            </w:r>
          </w:p>
        </w:tc>
      </w:tr>
    </w:tbl>
    <w:p>
      <w:pPr>
        <w:spacing w:before="0" w:after="120"/>
      </w:pPr>
    </w:p>
    <w:p>
      <w:pPr>
        <w:spacing w:before="0" w:after="120" w:line="276" w:lineRule="auto"/>
      </w:pPr>
      <w:r>
        <w:rPr>
          <w:rFonts w:ascii="DM Sans" w:hAnsi="DM Sans" w:cs="DM Sans"/>
          <w:b w:val="0"/>
          <w:i w:val="0"/>
          <w:color w:val="050C2A"/>
          <w:sz w:val="20"/>
          <w:u w:val="none"/>
        </w:rPr>
        <w:t>The employer evaluation does not assess Teamwork (employers cannot see internal dynamics), Critical Thinking (assessed through deliverables), or Career &amp; Self-Development (assessed through reflections). This boundary is intentional — each evidence source in the Professional Engagement component captures what its evaluator is uniquely positioned to observe.</w:t>
      </w:r>
    </w:p>
    <w:p>
      <w:pPr>
        <w:spacing w:before="280" w:after="100"/>
      </w:pPr>
      <w:r>
        <w:rPr>
          <w:rFonts w:ascii="DM Sans" w:hAnsi="DM Sans" w:cs="DM Sans"/>
          <w:b/>
          <w:i w:val="0"/>
          <w:color w:val="050C2A"/>
          <w:sz w:val="28"/>
          <w:u w:val="none"/>
        </w:rPr>
        <w:t>Mid-Project Employer Survey (Week 8)</w:t>
      </w:r>
    </w:p>
    <w:p>
      <w:pPr>
        <w:spacing w:before="240" w:after="80"/>
      </w:pPr>
      <w:r>
        <w:rPr>
          <w:rFonts w:ascii="DM Sans" w:hAnsi="DM Sans" w:cs="DM Sans"/>
          <w:b/>
          <w:i w:val="0"/>
          <w:color w:val="050C2A"/>
          <w:sz w:val="24"/>
          <w:u w:val="none"/>
        </w:rPr>
        <w:t>Purpose</w:t>
      </w:r>
    </w:p>
    <w:p>
      <w:pPr>
        <w:spacing w:before="0" w:after="120" w:line="276" w:lineRule="auto"/>
      </w:pPr>
      <w:r>
        <w:rPr>
          <w:rFonts w:ascii="DM Sans" w:hAnsi="DM Sans" w:cs="DM Sans"/>
          <w:b w:val="0"/>
          <w:i w:val="0"/>
          <w:color w:val="050C2A"/>
          <w:sz w:val="20"/>
          <w:u w:val="none"/>
        </w:rPr>
        <w:t>Early professionalism signal and course correction opportunity. The mid-project survey captures the employer's experience of working with the team through the first four touchpoints (Kickoff, Direction Check, Progress Review #1, and ongoing email communication). Results are shared with the team to enable behavioral adjustment in the second half of the project.</w:t>
      </w:r>
    </w:p>
    <w:p>
      <w:pPr>
        <w:spacing w:before="240" w:after="80"/>
      </w:pPr>
      <w:r>
        <w:rPr>
          <w:rFonts w:ascii="DM Sans" w:hAnsi="DM Sans" w:cs="DM Sans"/>
          <w:b/>
          <w:i w:val="0"/>
          <w:color w:val="050C2A"/>
          <w:sz w:val="24"/>
          <w:u w:val="none"/>
        </w:rPr>
        <w:t>Timing</w:t>
      </w:r>
    </w:p>
    <w:p>
      <w:pPr>
        <w:spacing w:before="0" w:after="120" w:line="276" w:lineRule="auto"/>
      </w:pPr>
      <w:r>
        <w:rPr>
          <w:rFonts w:ascii="DM Sans" w:hAnsi="DM Sans" w:cs="DM Sans"/>
          <w:b w:val="0"/>
          <w:i w:val="0"/>
          <w:color w:val="050C2A"/>
          <w:sz w:val="20"/>
          <w:u w:val="none"/>
        </w:rPr>
        <w:t>Administered shortly after Progress Review #1 (Week 7), ideally within 48 hours while the employer's impressions are fresh. Results are processed and shared with the team before the Week 9 Team Processing Session.</w:t>
      </w:r>
    </w:p>
    <w:p>
      <w:pPr>
        <w:spacing w:before="240" w:after="80"/>
      </w:pPr>
      <w:r>
        <w:rPr>
          <w:rFonts w:ascii="DM Sans" w:hAnsi="DM Sans" w:cs="DM Sans"/>
          <w:b/>
          <w:i w:val="0"/>
          <w:color w:val="050C2A"/>
          <w:sz w:val="24"/>
          <w:u w:val="none"/>
        </w:rPr>
        <w:t>Survey Weight</w:t>
      </w:r>
    </w:p>
    <w:p>
      <w:pPr>
        <w:spacing w:before="0" w:after="120" w:line="276" w:lineRule="auto"/>
      </w:pPr>
      <w:r>
        <w:rPr>
          <w:rFonts w:ascii="DM Sans" w:hAnsi="DM Sans" w:cs="DM Sans"/>
          <w:b w:val="0"/>
          <w:i w:val="0"/>
          <w:color w:val="050C2A"/>
          <w:sz w:val="20"/>
          <w:u w:val="none"/>
        </w:rPr>
        <w:t>The mid-project survey contributes 30% of the overall employer feedback score. The formative weight is deliberately lower because the primary purpose is developmental, and the employer has observed less than half the project arc.</w:t>
      </w:r>
    </w:p>
    <w:p>
      <w:pPr>
        <w:spacing w:before="240" w:after="80"/>
      </w:pPr>
      <w:r>
        <w:rPr>
          <w:rFonts w:ascii="DM Sans" w:hAnsi="DM Sans" w:cs="DM Sans"/>
          <w:b/>
          <w:i w:val="0"/>
          <w:color w:val="050C2A"/>
          <w:sz w:val="24"/>
          <w:u w:val="none"/>
        </w:rPr>
        <w:t>Instrument</w:t>
      </w:r>
    </w:p>
    <w:p>
      <w:pPr>
        <w:spacing w:before="0" w:after="120" w:line="276" w:lineRule="auto"/>
      </w:pPr>
      <w:r>
        <w:rPr>
          <w:rFonts w:ascii="DM Sans" w:hAnsi="DM Sans" w:cs="DM Sans"/>
          <w:b w:val="0"/>
          <w:i w:val="0"/>
          <w:color w:val="050C2A"/>
          <w:sz w:val="20"/>
          <w:u w:val="none"/>
        </w:rPr>
        <w:t>Five items total. Estimated completion time: 3 minutes.</w:t>
      </w:r>
    </w:p>
    <w:p>
      <w:pPr>
        <w:spacing w:before="200" w:after="60"/>
      </w:pPr>
      <w:r>
        <w:rPr>
          <w:rFonts w:ascii="DM Sans" w:hAnsi="DM Sans" w:cs="DM Sans"/>
          <w:b/>
          <w:i w:val="0"/>
          <w:color w:val="050C2A"/>
          <w:sz w:val="22"/>
          <w:u w:val="none"/>
        </w:rPr>
        <w:t>Items 1–3: BARS Ratings</w:t>
      </w:r>
    </w:p>
    <w:p>
      <w:pPr>
        <w:spacing w:before="0" w:after="120" w:line="276" w:lineRule="auto"/>
      </w:pPr>
      <w:r>
        <w:rPr>
          <w:rFonts w:ascii="DM Sans" w:hAnsi="DM Sans" w:cs="DM Sans"/>
          <w:b/>
          <w:i w:val="0"/>
          <w:color w:val="050C2A"/>
          <w:sz w:val="20"/>
          <w:u w:val="none"/>
        </w:rPr>
        <w:t>Dimension 1: Communication</w:t>
      </w:r>
      <w:r>
        <w:rPr>
          <w:rFonts w:ascii="DM Sans" w:hAnsi="DM Sans" w:cs="DM Sans"/>
          <w:b w:val="0"/>
          <w:i w:val="0"/>
          <w:color w:val="050C2A"/>
          <w:sz w:val="20"/>
          <w:u w:val="none"/>
        </w:rPr>
        <w:t xml:space="preserve"> </w:t>
      </w:r>
      <w:r>
        <w:rPr>
          <w:rFonts w:ascii="DM Sans" w:hAnsi="DM Sans" w:cs="DM Sans"/>
          <w:b w:val="0"/>
          <w:i/>
          <w:color w:val="050C2A"/>
          <w:sz w:val="20"/>
          <w:u w:val="none"/>
        </w:rPr>
        <w:t>How effectively has the team communicated with you — in meetings, emails, and follow-ups?</w:t>
      </w:r>
    </w:p>
    <w:p>
      <w:pPr>
        <w:spacing w:before="0" w:after="120" w:line="276" w:lineRule="auto"/>
      </w:pPr>
      <w:r>
        <w:rPr>
          <w:rFonts w:ascii="DM Sans" w:hAnsi="DM Sans" w:cs="DM Sans"/>
          <w:b w:val="0"/>
          <w:i w:val="0"/>
          <w:color w:val="050C2A"/>
          <w:sz w:val="20"/>
          <w:u w:val="none"/>
        </w:rPr>
        <w:t>Competency: Communication → Professional Correspondence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27"/>
            <w:shd w:fill="FF7C0A" w:val="clear"/>
            <w:vAlign w:val="center"/>
          </w:tcPr>
          <w:p>
            <w:pPr>
              <w:jc w:val="left"/>
              <w:spacing w:before="40" w:after="40"/>
            </w:pPr>
            <w:r>
              <w:rPr>
                <w:rFonts w:ascii="DM Sans" w:hAnsi="DM Sans" w:cs="DM Sans"/>
                <w:b/>
                <w:i w:val="0"/>
                <w:color w:val="FFFFFF"/>
                <w:sz w:val="20"/>
                <w:u w:val="none"/>
              </w:rPr>
              <w:t>Rating</w:t>
            </w:r>
          </w:p>
        </w:tc>
        <w:tc>
          <w:tcPr>
            <w:tcW w:type="dxa" w:w="2109"/>
            <w:shd w:fill="FF7C0A" w:val="clear"/>
            <w:vAlign w:val="center"/>
          </w:tcPr>
          <w:p>
            <w:pPr>
              <w:jc w:val="left"/>
              <w:spacing w:before="40" w:after="40"/>
            </w:pPr>
            <w:r>
              <w:rPr>
                <w:rFonts w:ascii="DM Sans" w:hAnsi="DM Sans" w:cs="DM Sans"/>
                <w:b/>
                <w:i w:val="0"/>
                <w:color w:val="FFFFFF"/>
                <w:sz w:val="20"/>
                <w:u w:val="none"/>
              </w:rPr>
              <w:t>Descriptor</w:t>
            </w:r>
          </w:p>
        </w:tc>
        <w:tc>
          <w:tcPr>
            <w:tcW w:type="dxa" w:w="6124"/>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1127"/>
            <w:vAlign w:val="center"/>
          </w:tcPr>
          <w:p>
            <w:pPr>
              <w:spacing w:before="30" w:after="30"/>
            </w:pPr>
            <w:r>
              <w:rPr>
                <w:rFonts w:ascii="DM Sans" w:hAnsi="DM Sans" w:cs="DM Sans"/>
                <w:b/>
                <w:i w:val="0"/>
                <w:color w:val="050C2A"/>
                <w:sz w:val="20"/>
                <w:u w:val="none"/>
              </w:rPr>
              <w:t>4</w:t>
            </w:r>
          </w:p>
        </w:tc>
        <w:tc>
          <w:tcPr>
            <w:tcW w:type="dxa" w:w="2109"/>
            <w:vAlign w:val="center"/>
          </w:tcPr>
          <w:p>
            <w:pPr>
              <w:spacing w:before="30" w:after="30"/>
            </w:pPr>
            <w:r>
              <w:rPr>
                <w:rFonts w:ascii="DM Sans" w:hAnsi="DM Sans" w:cs="DM Sans"/>
                <w:b/>
                <w:i w:val="0"/>
                <w:color w:val="050C2A"/>
                <w:sz w:val="20"/>
                <w:u w:val="none"/>
              </w:rPr>
              <w:t>Excellent</w:t>
            </w:r>
          </w:p>
        </w:tc>
        <w:tc>
          <w:tcPr>
            <w:tcW w:type="dxa" w:w="6124"/>
            <w:vAlign w:val="center"/>
          </w:tcPr>
          <w:p>
            <w:pPr>
              <w:spacing w:before="30" w:after="30"/>
            </w:pPr>
            <w:r>
              <w:rPr>
                <w:rFonts w:ascii="DM Sans" w:hAnsi="DM Sans" w:cs="DM Sans"/>
                <w:b w:val="0"/>
                <w:i w:val="0"/>
                <w:color w:val="050C2A"/>
                <w:sz w:val="20"/>
                <w:u w:val="none"/>
              </w:rPr>
              <w:t>Interactions are consistently clear, professional, and well-organized. Emails are concise and action-oriented. Meetings are productive. I always know where we stand.</w:t>
            </w:r>
          </w:p>
        </w:tc>
      </w:tr>
      <w:tr>
        <w:tc>
          <w:tcPr>
            <w:tcW w:type="dxa" w:w="1127"/>
            <w:shd w:fill="F5F5F5" w:val="clear"/>
            <w:vAlign w:val="center"/>
          </w:tcPr>
          <w:p>
            <w:pPr>
              <w:spacing w:before="30" w:after="30"/>
            </w:pPr>
            <w:r>
              <w:rPr>
                <w:rFonts w:ascii="DM Sans" w:hAnsi="DM Sans" w:cs="DM Sans"/>
                <w:b/>
                <w:i w:val="0"/>
                <w:color w:val="050C2A"/>
                <w:sz w:val="20"/>
                <w:u w:val="none"/>
              </w:rPr>
              <w:t>3</w:t>
            </w:r>
          </w:p>
        </w:tc>
        <w:tc>
          <w:tcPr>
            <w:tcW w:type="dxa" w:w="2109"/>
            <w:shd w:fill="F5F5F5" w:val="clear"/>
            <w:vAlign w:val="center"/>
          </w:tcPr>
          <w:p>
            <w:pPr>
              <w:spacing w:before="30" w:after="30"/>
            </w:pPr>
            <w:r>
              <w:rPr>
                <w:rFonts w:ascii="DM Sans" w:hAnsi="DM Sans" w:cs="DM Sans"/>
                <w:b/>
                <w:i w:val="0"/>
                <w:color w:val="050C2A"/>
                <w:sz w:val="20"/>
                <w:u w:val="none"/>
              </w:rPr>
              <w:t>Good</w:t>
            </w:r>
          </w:p>
        </w:tc>
        <w:tc>
          <w:tcPr>
            <w:tcW w:type="dxa" w:w="6124"/>
            <w:shd w:fill="F5F5F5" w:val="clear"/>
            <w:vAlign w:val="center"/>
          </w:tcPr>
          <w:p>
            <w:pPr>
              <w:spacing w:before="30" w:after="30"/>
            </w:pPr>
            <w:r>
              <w:rPr>
                <w:rFonts w:ascii="DM Sans" w:hAnsi="DM Sans" w:cs="DM Sans"/>
                <w:b w:val="0"/>
                <w:i w:val="0"/>
                <w:color w:val="050C2A"/>
                <w:sz w:val="20"/>
                <w:u w:val="none"/>
              </w:rPr>
              <w:t>Interactions are generally clear and professional. Communication is adequate — I get the information I need, though occasionally I have to ask for clarification.</w:t>
            </w:r>
          </w:p>
        </w:tc>
      </w:tr>
      <w:tr>
        <w:tc>
          <w:tcPr>
            <w:tcW w:type="dxa" w:w="1127"/>
            <w:vAlign w:val="center"/>
          </w:tcPr>
          <w:p>
            <w:pPr>
              <w:spacing w:before="30" w:after="30"/>
            </w:pPr>
            <w:r>
              <w:rPr>
                <w:rFonts w:ascii="DM Sans" w:hAnsi="DM Sans" w:cs="DM Sans"/>
                <w:b/>
                <w:i w:val="0"/>
                <w:color w:val="050C2A"/>
                <w:sz w:val="20"/>
                <w:u w:val="none"/>
              </w:rPr>
              <w:t>2</w:t>
            </w:r>
          </w:p>
        </w:tc>
        <w:tc>
          <w:tcPr>
            <w:tcW w:type="dxa" w:w="2109"/>
            <w:vAlign w:val="center"/>
          </w:tcPr>
          <w:p>
            <w:pPr>
              <w:spacing w:before="30" w:after="30"/>
            </w:pPr>
            <w:r>
              <w:rPr>
                <w:rFonts w:ascii="DM Sans" w:hAnsi="DM Sans" w:cs="DM Sans"/>
                <w:b/>
                <w:i w:val="0"/>
                <w:color w:val="050C2A"/>
                <w:sz w:val="20"/>
                <w:u w:val="none"/>
              </w:rPr>
              <w:t>Needs Improvement</w:t>
            </w:r>
          </w:p>
        </w:tc>
        <w:tc>
          <w:tcPr>
            <w:tcW w:type="dxa" w:w="6124"/>
            <w:vAlign w:val="center"/>
          </w:tcPr>
          <w:p>
            <w:pPr>
              <w:spacing w:before="30" w:after="30"/>
            </w:pPr>
            <w:r>
              <w:rPr>
                <w:rFonts w:ascii="DM Sans" w:hAnsi="DM Sans" w:cs="DM Sans"/>
                <w:b w:val="0"/>
                <w:i w:val="0"/>
                <w:color w:val="050C2A"/>
                <w:sz w:val="20"/>
                <w:u w:val="none"/>
              </w:rPr>
              <w:t>Communication is inconsistent. Some interactions are professional, others feel disorganized or unclear. I have had to chase the team for updates or clarification more than once.</w:t>
            </w:r>
          </w:p>
        </w:tc>
      </w:tr>
      <w:tr>
        <w:tc>
          <w:tcPr>
            <w:tcW w:type="dxa" w:w="1127"/>
            <w:shd w:fill="F5F5F5" w:val="clear"/>
            <w:vAlign w:val="center"/>
          </w:tcPr>
          <w:p>
            <w:pPr>
              <w:spacing w:before="30" w:after="30"/>
            </w:pPr>
            <w:r>
              <w:rPr>
                <w:rFonts w:ascii="DM Sans" w:hAnsi="DM Sans" w:cs="DM Sans"/>
                <w:b/>
                <w:i w:val="0"/>
                <w:color w:val="050C2A"/>
                <w:sz w:val="20"/>
                <w:u w:val="none"/>
              </w:rPr>
              <w:t>1</w:t>
            </w:r>
          </w:p>
        </w:tc>
        <w:tc>
          <w:tcPr>
            <w:tcW w:type="dxa" w:w="2109"/>
            <w:shd w:fill="F5F5F5" w:val="clear"/>
            <w:vAlign w:val="center"/>
          </w:tcPr>
          <w:p>
            <w:pPr>
              <w:spacing w:before="30" w:after="30"/>
            </w:pPr>
            <w:r>
              <w:rPr>
                <w:rFonts w:ascii="DM Sans" w:hAnsi="DM Sans" w:cs="DM Sans"/>
                <w:b/>
                <w:i w:val="0"/>
                <w:color w:val="050C2A"/>
                <w:sz w:val="20"/>
                <w:u w:val="none"/>
              </w:rPr>
              <w:t>Unsatisfactory</w:t>
            </w:r>
          </w:p>
        </w:tc>
        <w:tc>
          <w:tcPr>
            <w:tcW w:type="dxa" w:w="6124"/>
            <w:shd w:fill="F5F5F5" w:val="clear"/>
            <w:vAlign w:val="center"/>
          </w:tcPr>
          <w:p>
            <w:pPr>
              <w:spacing w:before="30" w:after="30"/>
            </w:pPr>
            <w:r>
              <w:rPr>
                <w:rFonts w:ascii="DM Sans" w:hAnsi="DM Sans" w:cs="DM Sans"/>
                <w:b w:val="0"/>
                <w:i w:val="0"/>
                <w:color w:val="050C2A"/>
                <w:sz w:val="20"/>
                <w:u w:val="none"/>
              </w:rPr>
              <w:t>Communication is poor. Emails go unanswered or are confusing. Meetings feel unprepared. I am frequently unsure what the team is working on or where things stand.</w:t>
            </w:r>
          </w:p>
        </w:tc>
      </w:tr>
    </w:tbl>
    <w:p>
      <w:pPr>
        <w:spacing w:before="0" w:after="120"/>
      </w:pPr>
    </w:p>
    <w:p>
      <w:pPr>
        <w:spacing w:before="0" w:after="120" w:line="276" w:lineRule="auto"/>
      </w:pPr>
      <w:r>
        <w:rPr>
          <w:rFonts w:ascii="DM Sans" w:hAnsi="DM Sans" w:cs="DM Sans"/>
          <w:b/>
          <w:i w:val="0"/>
          <w:color w:val="050C2A"/>
          <w:sz w:val="20"/>
          <w:u w:val="none"/>
        </w:rPr>
        <w:t>Dimension 2: Preparedness</w:t>
      </w:r>
      <w:r>
        <w:rPr>
          <w:rFonts w:ascii="DM Sans" w:hAnsi="DM Sans" w:cs="DM Sans"/>
          <w:b w:val="0"/>
          <w:i w:val="0"/>
          <w:color w:val="050C2A"/>
          <w:sz w:val="20"/>
          <w:u w:val="none"/>
        </w:rPr>
        <w:t xml:space="preserve"> </w:t>
      </w:r>
      <w:r>
        <w:rPr>
          <w:rFonts w:ascii="DM Sans" w:hAnsi="DM Sans" w:cs="DM Sans"/>
          <w:b w:val="0"/>
          <w:i/>
          <w:color w:val="050C2A"/>
          <w:sz w:val="20"/>
          <w:u w:val="none"/>
        </w:rPr>
        <w:t>How well-prepared has the team been for your interactions — did they come to meetings with clear agendas, questions, and organized materials?</w:t>
      </w:r>
    </w:p>
    <w:p>
      <w:pPr>
        <w:spacing w:before="0" w:after="120" w:line="276" w:lineRule="auto"/>
      </w:pPr>
      <w:r>
        <w:rPr>
          <w:rFonts w:ascii="DM Sans" w:hAnsi="DM Sans" w:cs="DM Sans"/>
          <w:b w:val="0"/>
          <w:i w:val="0"/>
          <w:color w:val="050C2A"/>
          <w:sz w:val="20"/>
          <w:u w:val="none"/>
        </w:rPr>
        <w:t>Competency: Professionalism → Dependability</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80"/>
            <w:shd w:fill="FF7C0A" w:val="clear"/>
            <w:vAlign w:val="center"/>
          </w:tcPr>
          <w:p>
            <w:pPr>
              <w:jc w:val="left"/>
              <w:spacing w:before="40" w:after="40"/>
            </w:pPr>
            <w:r>
              <w:rPr>
                <w:rFonts w:ascii="DM Sans" w:hAnsi="DM Sans" w:cs="DM Sans"/>
                <w:b/>
                <w:i w:val="0"/>
                <w:color w:val="FFFFFF"/>
                <w:sz w:val="20"/>
                <w:u w:val="none"/>
              </w:rPr>
              <w:t>Rating</w:t>
            </w:r>
          </w:p>
        </w:tc>
        <w:tc>
          <w:tcPr>
            <w:tcW w:type="dxa" w:w="2022"/>
            <w:shd w:fill="FF7C0A" w:val="clear"/>
            <w:vAlign w:val="center"/>
          </w:tcPr>
          <w:p>
            <w:pPr>
              <w:jc w:val="left"/>
              <w:spacing w:before="40" w:after="40"/>
            </w:pPr>
            <w:r>
              <w:rPr>
                <w:rFonts w:ascii="DM Sans" w:hAnsi="DM Sans" w:cs="DM Sans"/>
                <w:b/>
                <w:i w:val="0"/>
                <w:color w:val="FFFFFF"/>
                <w:sz w:val="20"/>
                <w:u w:val="none"/>
              </w:rPr>
              <w:t>Descriptor</w:t>
            </w:r>
          </w:p>
        </w:tc>
        <w:tc>
          <w:tcPr>
            <w:tcW w:type="dxa" w:w="6258"/>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1080"/>
            <w:vAlign w:val="center"/>
          </w:tcPr>
          <w:p>
            <w:pPr>
              <w:spacing w:before="30" w:after="30"/>
            </w:pPr>
            <w:r>
              <w:rPr>
                <w:rFonts w:ascii="DM Sans" w:hAnsi="DM Sans" w:cs="DM Sans"/>
                <w:b/>
                <w:i w:val="0"/>
                <w:color w:val="050C2A"/>
                <w:sz w:val="20"/>
                <w:u w:val="none"/>
              </w:rPr>
              <w:t>4</w:t>
            </w:r>
          </w:p>
        </w:tc>
        <w:tc>
          <w:tcPr>
            <w:tcW w:type="dxa" w:w="2022"/>
            <w:vAlign w:val="center"/>
          </w:tcPr>
          <w:p>
            <w:pPr>
              <w:spacing w:before="30" w:after="30"/>
            </w:pPr>
            <w:r>
              <w:rPr>
                <w:rFonts w:ascii="DM Sans" w:hAnsi="DM Sans" w:cs="DM Sans"/>
                <w:b/>
                <w:i w:val="0"/>
                <w:color w:val="050C2A"/>
                <w:sz w:val="20"/>
                <w:u w:val="none"/>
              </w:rPr>
              <w:t>Excellent</w:t>
            </w:r>
          </w:p>
        </w:tc>
        <w:tc>
          <w:tcPr>
            <w:tcW w:type="dxa" w:w="6258"/>
            <w:vAlign w:val="center"/>
          </w:tcPr>
          <w:p>
            <w:pPr>
              <w:spacing w:before="30" w:after="30"/>
            </w:pPr>
            <w:r>
              <w:rPr>
                <w:rFonts w:ascii="DM Sans" w:hAnsi="DM Sans" w:cs="DM Sans"/>
                <w:b w:val="0"/>
                <w:i w:val="0"/>
                <w:color w:val="050C2A"/>
                <w:sz w:val="20"/>
                <w:u w:val="none"/>
              </w:rPr>
              <w:t>The team arrives at every meeting with a clear agenda, organized materials, and thoughtful questions. They make productive use of our time together. I can tell they have prepared.</w:t>
            </w:r>
          </w:p>
        </w:tc>
      </w:tr>
      <w:tr>
        <w:tc>
          <w:tcPr>
            <w:tcW w:type="dxa" w:w="1080"/>
            <w:shd w:fill="F5F5F5" w:val="clear"/>
            <w:vAlign w:val="center"/>
          </w:tcPr>
          <w:p>
            <w:pPr>
              <w:spacing w:before="30" w:after="30"/>
            </w:pPr>
            <w:r>
              <w:rPr>
                <w:rFonts w:ascii="DM Sans" w:hAnsi="DM Sans" w:cs="DM Sans"/>
                <w:b/>
                <w:i w:val="0"/>
                <w:color w:val="050C2A"/>
                <w:sz w:val="20"/>
                <w:u w:val="none"/>
              </w:rPr>
              <w:t>3</w:t>
            </w:r>
          </w:p>
        </w:tc>
        <w:tc>
          <w:tcPr>
            <w:tcW w:type="dxa" w:w="2022"/>
            <w:shd w:fill="F5F5F5" w:val="clear"/>
            <w:vAlign w:val="center"/>
          </w:tcPr>
          <w:p>
            <w:pPr>
              <w:spacing w:before="30" w:after="30"/>
            </w:pPr>
            <w:r>
              <w:rPr>
                <w:rFonts w:ascii="DM Sans" w:hAnsi="DM Sans" w:cs="DM Sans"/>
                <w:b/>
                <w:i w:val="0"/>
                <w:color w:val="050C2A"/>
                <w:sz w:val="20"/>
                <w:u w:val="none"/>
              </w:rPr>
              <w:t>Good</w:t>
            </w:r>
          </w:p>
        </w:tc>
        <w:tc>
          <w:tcPr>
            <w:tcW w:type="dxa" w:w="6258"/>
            <w:shd w:fill="F5F5F5" w:val="clear"/>
            <w:vAlign w:val="center"/>
          </w:tcPr>
          <w:p>
            <w:pPr>
              <w:spacing w:before="30" w:after="30"/>
            </w:pPr>
            <w:r>
              <w:rPr>
                <w:rFonts w:ascii="DM Sans" w:hAnsi="DM Sans" w:cs="DM Sans"/>
                <w:b w:val="0"/>
                <w:i w:val="0"/>
                <w:color w:val="050C2A"/>
                <w:sz w:val="20"/>
                <w:u w:val="none"/>
              </w:rPr>
              <w:t>The team is generally prepared for meetings. They have materials and questions ready, though the organization could sometimes be tighter. Our time together is mostly productive.</w:t>
            </w:r>
          </w:p>
        </w:tc>
      </w:tr>
      <w:tr>
        <w:tc>
          <w:tcPr>
            <w:tcW w:type="dxa" w:w="1080"/>
            <w:vAlign w:val="center"/>
          </w:tcPr>
          <w:p>
            <w:pPr>
              <w:spacing w:before="30" w:after="30"/>
            </w:pPr>
            <w:r>
              <w:rPr>
                <w:rFonts w:ascii="DM Sans" w:hAnsi="DM Sans" w:cs="DM Sans"/>
                <w:b/>
                <w:i w:val="0"/>
                <w:color w:val="050C2A"/>
                <w:sz w:val="20"/>
                <w:u w:val="none"/>
              </w:rPr>
              <w:t>2</w:t>
            </w:r>
          </w:p>
        </w:tc>
        <w:tc>
          <w:tcPr>
            <w:tcW w:type="dxa" w:w="2022"/>
            <w:vAlign w:val="center"/>
          </w:tcPr>
          <w:p>
            <w:pPr>
              <w:spacing w:before="30" w:after="30"/>
            </w:pPr>
            <w:r>
              <w:rPr>
                <w:rFonts w:ascii="DM Sans" w:hAnsi="DM Sans" w:cs="DM Sans"/>
                <w:b/>
                <w:i w:val="0"/>
                <w:color w:val="050C2A"/>
                <w:sz w:val="20"/>
                <w:u w:val="none"/>
              </w:rPr>
              <w:t>Needs Improvement</w:t>
            </w:r>
          </w:p>
        </w:tc>
        <w:tc>
          <w:tcPr>
            <w:tcW w:type="dxa" w:w="6258"/>
            <w:vAlign w:val="center"/>
          </w:tcPr>
          <w:p>
            <w:pPr>
              <w:spacing w:before="30" w:after="30"/>
            </w:pPr>
            <w:r>
              <w:rPr>
                <w:rFonts w:ascii="DM Sans" w:hAnsi="DM Sans" w:cs="DM Sans"/>
                <w:b w:val="0"/>
                <w:i w:val="0"/>
                <w:color w:val="050C2A"/>
                <w:sz w:val="20"/>
                <w:u w:val="none"/>
              </w:rPr>
              <w:t>Preparation is uneven. Some meetings feel well-organized while others seem improvised. The team sometimes lacks clear questions or materials, making our interactions less productive than they could be.</w:t>
            </w:r>
          </w:p>
        </w:tc>
      </w:tr>
      <w:tr>
        <w:tc>
          <w:tcPr>
            <w:tcW w:type="dxa" w:w="1080"/>
            <w:shd w:fill="F5F5F5" w:val="clear"/>
            <w:vAlign w:val="center"/>
          </w:tcPr>
          <w:p>
            <w:pPr>
              <w:spacing w:before="30" w:after="30"/>
            </w:pPr>
            <w:r>
              <w:rPr>
                <w:rFonts w:ascii="DM Sans" w:hAnsi="DM Sans" w:cs="DM Sans"/>
                <w:b/>
                <w:i w:val="0"/>
                <w:color w:val="050C2A"/>
                <w:sz w:val="20"/>
                <w:u w:val="none"/>
              </w:rPr>
              <w:t>1</w:t>
            </w:r>
          </w:p>
        </w:tc>
        <w:tc>
          <w:tcPr>
            <w:tcW w:type="dxa" w:w="2022"/>
            <w:shd w:fill="F5F5F5" w:val="clear"/>
            <w:vAlign w:val="center"/>
          </w:tcPr>
          <w:p>
            <w:pPr>
              <w:spacing w:before="30" w:after="30"/>
            </w:pPr>
            <w:r>
              <w:rPr>
                <w:rFonts w:ascii="DM Sans" w:hAnsi="DM Sans" w:cs="DM Sans"/>
                <w:b/>
                <w:i w:val="0"/>
                <w:color w:val="050C2A"/>
                <w:sz w:val="20"/>
                <w:u w:val="none"/>
              </w:rPr>
              <w:t>Unsatisfactory</w:t>
            </w:r>
          </w:p>
        </w:tc>
        <w:tc>
          <w:tcPr>
            <w:tcW w:type="dxa" w:w="6258"/>
            <w:shd w:fill="F5F5F5" w:val="clear"/>
            <w:vAlign w:val="center"/>
          </w:tcPr>
          <w:p>
            <w:pPr>
              <w:spacing w:before="30" w:after="30"/>
            </w:pPr>
            <w:r>
              <w:rPr>
                <w:rFonts w:ascii="DM Sans" w:hAnsi="DM Sans" w:cs="DM Sans"/>
                <w:b w:val="0"/>
                <w:i w:val="0"/>
                <w:color w:val="050C2A"/>
                <w:sz w:val="20"/>
                <w:u w:val="none"/>
              </w:rPr>
              <w:t>The team regularly comes to meetings unprepared. Agendas are missing or vague. Materials are incomplete or disorganized. Our meetings are often unproductive.</w:t>
            </w:r>
          </w:p>
        </w:tc>
      </w:tr>
    </w:tbl>
    <w:p>
      <w:pPr>
        <w:spacing w:before="0" w:after="120"/>
      </w:pPr>
    </w:p>
    <w:p>
      <w:pPr>
        <w:spacing w:before="0" w:after="120" w:line="276" w:lineRule="auto"/>
      </w:pPr>
      <w:r>
        <w:rPr>
          <w:rFonts w:ascii="DM Sans" w:hAnsi="DM Sans" w:cs="DM Sans"/>
          <w:b/>
          <w:i w:val="0"/>
          <w:color w:val="050C2A"/>
          <w:sz w:val="20"/>
          <w:u w:val="none"/>
        </w:rPr>
        <w:t>Dimension 3: Responsiveness</w:t>
      </w:r>
      <w:r>
        <w:rPr>
          <w:rFonts w:ascii="DM Sans" w:hAnsi="DM Sans" w:cs="DM Sans"/>
          <w:b w:val="0"/>
          <w:i w:val="0"/>
          <w:color w:val="050C2A"/>
          <w:sz w:val="20"/>
          <w:u w:val="none"/>
        </w:rPr>
        <w:t xml:space="preserve"> </w:t>
      </w:r>
      <w:r>
        <w:rPr>
          <w:rFonts w:ascii="DM Sans" w:hAnsi="DM Sans" w:cs="DM Sans"/>
          <w:b w:val="0"/>
          <w:i/>
          <w:color w:val="050C2A"/>
          <w:sz w:val="20"/>
          <w:u w:val="none"/>
        </w:rPr>
        <w:t>How responsive has the team been to your input — did they follow up on your feedback, ask clarifying questions, and keep you updated between meetings?</w:t>
      </w:r>
    </w:p>
    <w:p>
      <w:pPr>
        <w:spacing w:before="0" w:after="120" w:line="276" w:lineRule="auto"/>
      </w:pPr>
      <w:r>
        <w:rPr>
          <w:rFonts w:ascii="DM Sans" w:hAnsi="DM Sans" w:cs="DM Sans"/>
          <w:b w:val="0"/>
          <w:i w:val="0"/>
          <w:color w:val="050C2A"/>
          <w:sz w:val="20"/>
          <w:u w:val="none"/>
        </w:rPr>
        <w:t>Competency: Professionalism → Initiative; Communication → Professional Correspondence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063"/>
            <w:shd w:fill="FF7C0A" w:val="clear"/>
            <w:vAlign w:val="center"/>
          </w:tcPr>
          <w:p>
            <w:pPr>
              <w:jc w:val="left"/>
              <w:spacing w:before="40" w:after="40"/>
            </w:pPr>
            <w:r>
              <w:rPr>
                <w:rFonts w:ascii="DM Sans" w:hAnsi="DM Sans" w:cs="DM Sans"/>
                <w:b/>
                <w:i w:val="0"/>
                <w:color w:val="FFFFFF"/>
                <w:sz w:val="20"/>
                <w:u w:val="none"/>
              </w:rPr>
              <w:t>Rating</w:t>
            </w:r>
          </w:p>
        </w:tc>
        <w:tc>
          <w:tcPr>
            <w:tcW w:type="dxa" w:w="1989"/>
            <w:shd w:fill="FF7C0A" w:val="clear"/>
            <w:vAlign w:val="center"/>
          </w:tcPr>
          <w:p>
            <w:pPr>
              <w:jc w:val="left"/>
              <w:spacing w:before="40" w:after="40"/>
            </w:pPr>
            <w:r>
              <w:rPr>
                <w:rFonts w:ascii="DM Sans" w:hAnsi="DM Sans" w:cs="DM Sans"/>
                <w:b/>
                <w:i w:val="0"/>
                <w:color w:val="FFFFFF"/>
                <w:sz w:val="20"/>
                <w:u w:val="none"/>
              </w:rPr>
              <w:t>Descriptor</w:t>
            </w:r>
          </w:p>
        </w:tc>
        <w:tc>
          <w:tcPr>
            <w:tcW w:type="dxa" w:w="6308"/>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1063"/>
            <w:vAlign w:val="center"/>
          </w:tcPr>
          <w:p>
            <w:pPr>
              <w:spacing w:before="30" w:after="30"/>
            </w:pPr>
            <w:r>
              <w:rPr>
                <w:rFonts w:ascii="DM Sans" w:hAnsi="DM Sans" w:cs="DM Sans"/>
                <w:b/>
                <w:i w:val="0"/>
                <w:color w:val="050C2A"/>
                <w:sz w:val="20"/>
                <w:u w:val="none"/>
              </w:rPr>
              <w:t>4</w:t>
            </w:r>
          </w:p>
        </w:tc>
        <w:tc>
          <w:tcPr>
            <w:tcW w:type="dxa" w:w="1989"/>
            <w:vAlign w:val="center"/>
          </w:tcPr>
          <w:p>
            <w:pPr>
              <w:spacing w:before="30" w:after="30"/>
            </w:pPr>
            <w:r>
              <w:rPr>
                <w:rFonts w:ascii="DM Sans" w:hAnsi="DM Sans" w:cs="DM Sans"/>
                <w:b/>
                <w:i w:val="0"/>
                <w:color w:val="050C2A"/>
                <w:sz w:val="20"/>
                <w:u w:val="none"/>
              </w:rPr>
              <w:t>Excellent</w:t>
            </w:r>
          </w:p>
        </w:tc>
        <w:tc>
          <w:tcPr>
            <w:tcW w:type="dxa" w:w="6308"/>
            <w:vAlign w:val="center"/>
          </w:tcPr>
          <w:p>
            <w:pPr>
              <w:spacing w:before="30" w:after="30"/>
            </w:pPr>
            <w:r>
              <w:rPr>
                <w:rFonts w:ascii="DM Sans" w:hAnsi="DM Sans" w:cs="DM Sans"/>
                <w:b w:val="0"/>
                <w:i w:val="0"/>
                <w:color w:val="050C2A"/>
                <w:sz w:val="20"/>
                <w:u w:val="none"/>
              </w:rPr>
              <w:t>The team consistently follows up on my feedback. They ask clarifying questions when something is unclear. They keep me updated between meetings without being asked. I feel like an active partner in this project.</w:t>
            </w:r>
          </w:p>
        </w:tc>
      </w:tr>
      <w:tr>
        <w:tc>
          <w:tcPr>
            <w:tcW w:type="dxa" w:w="1063"/>
            <w:shd w:fill="F5F5F5" w:val="clear"/>
            <w:vAlign w:val="center"/>
          </w:tcPr>
          <w:p>
            <w:pPr>
              <w:spacing w:before="30" w:after="30"/>
            </w:pPr>
            <w:r>
              <w:rPr>
                <w:rFonts w:ascii="DM Sans" w:hAnsi="DM Sans" w:cs="DM Sans"/>
                <w:b/>
                <w:i w:val="0"/>
                <w:color w:val="050C2A"/>
                <w:sz w:val="20"/>
                <w:u w:val="none"/>
              </w:rPr>
              <w:t>3</w:t>
            </w:r>
          </w:p>
        </w:tc>
        <w:tc>
          <w:tcPr>
            <w:tcW w:type="dxa" w:w="1989"/>
            <w:shd w:fill="F5F5F5" w:val="clear"/>
            <w:vAlign w:val="center"/>
          </w:tcPr>
          <w:p>
            <w:pPr>
              <w:spacing w:before="30" w:after="30"/>
            </w:pPr>
            <w:r>
              <w:rPr>
                <w:rFonts w:ascii="DM Sans" w:hAnsi="DM Sans" w:cs="DM Sans"/>
                <w:b/>
                <w:i w:val="0"/>
                <w:color w:val="050C2A"/>
                <w:sz w:val="20"/>
                <w:u w:val="none"/>
              </w:rPr>
              <w:t>Good</w:t>
            </w:r>
          </w:p>
        </w:tc>
        <w:tc>
          <w:tcPr>
            <w:tcW w:type="dxa" w:w="6308"/>
            <w:shd w:fill="F5F5F5" w:val="clear"/>
            <w:vAlign w:val="center"/>
          </w:tcPr>
          <w:p>
            <w:pPr>
              <w:spacing w:before="30" w:after="30"/>
            </w:pPr>
            <w:r>
              <w:rPr>
                <w:rFonts w:ascii="DM Sans" w:hAnsi="DM Sans" w:cs="DM Sans"/>
                <w:b w:val="0"/>
                <w:i w:val="0"/>
                <w:color w:val="050C2A"/>
                <w:sz w:val="20"/>
                <w:u w:val="none"/>
              </w:rPr>
              <w:t>The team generally follows up on feedback and responds to my input. They keep me reasonably informed between meetings. I occasionally need to prompt them for updates, but overall the communication flow works.</w:t>
            </w:r>
          </w:p>
        </w:tc>
      </w:tr>
      <w:tr>
        <w:tc>
          <w:tcPr>
            <w:tcW w:type="dxa" w:w="1063"/>
            <w:vAlign w:val="center"/>
          </w:tcPr>
          <w:p>
            <w:pPr>
              <w:spacing w:before="30" w:after="30"/>
            </w:pPr>
            <w:r>
              <w:rPr>
                <w:rFonts w:ascii="DM Sans" w:hAnsi="DM Sans" w:cs="DM Sans"/>
                <w:b/>
                <w:i w:val="0"/>
                <w:color w:val="050C2A"/>
                <w:sz w:val="20"/>
                <w:u w:val="none"/>
              </w:rPr>
              <w:t>2</w:t>
            </w:r>
          </w:p>
        </w:tc>
        <w:tc>
          <w:tcPr>
            <w:tcW w:type="dxa" w:w="1989"/>
            <w:vAlign w:val="center"/>
          </w:tcPr>
          <w:p>
            <w:pPr>
              <w:spacing w:before="30" w:after="30"/>
            </w:pPr>
            <w:r>
              <w:rPr>
                <w:rFonts w:ascii="DM Sans" w:hAnsi="DM Sans" w:cs="DM Sans"/>
                <w:b/>
                <w:i w:val="0"/>
                <w:color w:val="050C2A"/>
                <w:sz w:val="20"/>
                <w:u w:val="none"/>
              </w:rPr>
              <w:t>Needs Improvement</w:t>
            </w:r>
          </w:p>
        </w:tc>
        <w:tc>
          <w:tcPr>
            <w:tcW w:type="dxa" w:w="6308"/>
            <w:vAlign w:val="center"/>
          </w:tcPr>
          <w:p>
            <w:pPr>
              <w:spacing w:before="30" w:after="30"/>
            </w:pPr>
            <w:r>
              <w:rPr>
                <w:rFonts w:ascii="DM Sans" w:hAnsi="DM Sans" w:cs="DM Sans"/>
                <w:b w:val="0"/>
                <w:i w:val="0"/>
                <w:color w:val="050C2A"/>
                <w:sz w:val="20"/>
                <w:u w:val="none"/>
              </w:rPr>
              <w:t>Follow-up on my feedback is inconsistent. I am not always sure whether my input has been heard or acted on. I have had to reach out to check on progress more than I expected.</w:t>
            </w:r>
          </w:p>
        </w:tc>
      </w:tr>
      <w:tr>
        <w:tc>
          <w:tcPr>
            <w:tcW w:type="dxa" w:w="1063"/>
            <w:shd w:fill="F5F5F5" w:val="clear"/>
            <w:vAlign w:val="center"/>
          </w:tcPr>
          <w:p>
            <w:pPr>
              <w:spacing w:before="30" w:after="30"/>
            </w:pPr>
            <w:r>
              <w:rPr>
                <w:rFonts w:ascii="DM Sans" w:hAnsi="DM Sans" w:cs="DM Sans"/>
                <w:b/>
                <w:i w:val="0"/>
                <w:color w:val="050C2A"/>
                <w:sz w:val="20"/>
                <w:u w:val="none"/>
              </w:rPr>
              <w:t>1</w:t>
            </w:r>
          </w:p>
        </w:tc>
        <w:tc>
          <w:tcPr>
            <w:tcW w:type="dxa" w:w="1989"/>
            <w:shd w:fill="F5F5F5" w:val="clear"/>
            <w:vAlign w:val="center"/>
          </w:tcPr>
          <w:p>
            <w:pPr>
              <w:spacing w:before="30" w:after="30"/>
            </w:pPr>
            <w:r>
              <w:rPr>
                <w:rFonts w:ascii="DM Sans" w:hAnsi="DM Sans" w:cs="DM Sans"/>
                <w:b/>
                <w:i w:val="0"/>
                <w:color w:val="050C2A"/>
                <w:sz w:val="20"/>
                <w:u w:val="none"/>
              </w:rPr>
              <w:t>Unsatisfactory</w:t>
            </w:r>
          </w:p>
        </w:tc>
        <w:tc>
          <w:tcPr>
            <w:tcW w:type="dxa" w:w="6308"/>
            <w:shd w:fill="F5F5F5" w:val="clear"/>
            <w:vAlign w:val="center"/>
          </w:tcPr>
          <w:p>
            <w:pPr>
              <w:spacing w:before="30" w:after="30"/>
            </w:pPr>
            <w:r>
              <w:rPr>
                <w:rFonts w:ascii="DM Sans" w:hAnsi="DM Sans" w:cs="DM Sans"/>
                <w:b w:val="0"/>
                <w:i w:val="0"/>
                <w:color w:val="050C2A"/>
                <w:sz w:val="20"/>
                <w:u w:val="none"/>
              </w:rPr>
              <w:t>The team rarely follows up on feedback or keeps me updated. I feel out of the loop between meetings. My input does not seem to influence the direction of their work.</w:t>
            </w:r>
          </w:p>
        </w:tc>
      </w:tr>
    </w:tbl>
    <w:p>
      <w:pPr>
        <w:spacing w:before="0" w:after="120"/>
      </w:pPr>
    </w:p>
    <w:p>
      <w:pPr>
        <w:spacing w:before="200" w:after="60"/>
      </w:pPr>
      <w:r>
        <w:rPr>
          <w:rFonts w:ascii="DM Sans" w:hAnsi="DM Sans" w:cs="DM Sans"/>
          <w:b/>
          <w:i w:val="0"/>
          <w:color w:val="050C2A"/>
          <w:sz w:val="22"/>
          <w:u w:val="none"/>
        </w:rPr>
        <w:t>Item 4: Qualitative Feedback (shared with team)</w:t>
      </w:r>
    </w:p>
    <w:p>
      <w:pPr>
        <w:spacing w:before="0" w:after="120" w:line="276" w:lineRule="auto"/>
      </w:pPr>
      <w:r>
        <w:rPr>
          <w:rFonts w:ascii="DM Sans" w:hAnsi="DM Sans" w:cs="DM Sans"/>
          <w:b/>
          <w:i w:val="0"/>
          <w:color w:val="050C2A"/>
          <w:sz w:val="20"/>
          <w:u w:val="none"/>
        </w:rPr>
        <w:t>"Is there anything specific you would like the team to do differently in how they communicate or work with you for the remainder of the project?"</w:t>
      </w:r>
    </w:p>
    <w:p>
      <w:pPr>
        <w:spacing w:before="0" w:after="120" w:line="276" w:lineRule="auto"/>
      </w:pPr>
      <w:r>
        <w:rPr>
          <w:rFonts w:ascii="DM Sans" w:hAnsi="DM Sans" w:cs="DM Sans"/>
          <w:b w:val="0"/>
          <w:i w:val="0"/>
          <w:color w:val="050C2A"/>
          <w:sz w:val="20"/>
          <w:u w:val="none"/>
        </w:rPr>
        <w:t>This is the employer's version of the Start/Adjust framework used in the peer evaluation. One open-ended question, low burden, high signal. The response is shared verbatim with the team in Week 9 — anonymity is not an issue since there is only one employer. This is the most actionable piece of the survey: if the employer says "I'd like more frequent email updates between meetings" or "Please come to the next meeting with a clear list of decisions you need from me," the team can act on it immediately.</w:t>
      </w:r>
    </w:p>
    <w:p>
      <w:pPr>
        <w:spacing w:before="0" w:after="120" w:line="276" w:lineRule="auto"/>
      </w:pPr>
      <w:r>
        <w:rPr>
          <w:rFonts w:ascii="DM Sans" w:hAnsi="DM Sans" w:cs="DM Sans"/>
          <w:b w:val="0"/>
          <w:i w:val="0"/>
          <w:color w:val="050C2A"/>
          <w:sz w:val="20"/>
          <w:u w:val="none"/>
        </w:rPr>
        <w:t>If the employer has no suggestions, a brief "No changes needed — keep doing what you're doing" is a positive signal in itself.</w:t>
      </w:r>
    </w:p>
    <w:p>
      <w:pPr>
        <w:spacing w:before="200" w:after="60"/>
      </w:pPr>
      <w:r>
        <w:rPr>
          <w:rFonts w:ascii="DM Sans" w:hAnsi="DM Sans" w:cs="DM Sans"/>
          <w:b/>
          <w:i w:val="0"/>
          <w:color w:val="050C2A"/>
          <w:sz w:val="22"/>
          <w:u w:val="none"/>
        </w:rPr>
        <w:t>Item 5: Confidence Signal (instructor-only)</w:t>
      </w:r>
    </w:p>
    <w:p>
      <w:pPr>
        <w:spacing w:before="0" w:after="120" w:line="276" w:lineRule="auto"/>
      </w:pPr>
      <w:r>
        <w:rPr>
          <w:rFonts w:ascii="DM Sans" w:hAnsi="DM Sans" w:cs="DM Sans"/>
          <w:b/>
          <w:i w:val="0"/>
          <w:color w:val="050C2A"/>
          <w:sz w:val="20"/>
          <w:u w:val="none"/>
        </w:rPr>
        <w:t>"At this point in the project, how confident are you that this team will deliver quality work?"</w:t>
      </w:r>
    </w:p>
    <w:p>
      <w:pPr>
        <w:spacing w:before="0" w:after="120" w:line="276" w:lineRule="auto"/>
      </w:pPr>
      <w:r>
        <w:rPr>
          <w:rFonts w:ascii="DM Sans" w:hAnsi="DM Sans" w:cs="DM Sans"/>
          <w:b w:val="0"/>
          <w:i w:val="0"/>
          <w:color w:val="050C2A"/>
          <w:sz w:val="20"/>
          <w:u w:val="none"/>
        </w:rPr>
        <w:t>Scale: 1–10</w:t>
      </w:r>
    </w:p>
    <w:p>
      <w:pPr>
        <w:spacing w:before="0" w:after="120" w:line="276" w:lineRule="auto"/>
      </w:pPr>
      <w:r>
        <w:rPr>
          <w:rFonts w:ascii="DM Sans" w:hAnsi="DM Sans" w:cs="DM Sans"/>
          <w:b w:val="0"/>
          <w:i w:val="0"/>
          <w:color w:val="050C2A"/>
          <w:sz w:val="20"/>
          <w:u w:val="none"/>
        </w:rPr>
        <w:t>This item is not shared with the team. It parallels the team pulse question on the peer evaluation and gives the instructor an early warning if the employer is losing confidence. A score of 5 or below triggers an instructor check-in with both the employer and the team.</w:t>
      </w:r>
    </w:p>
    <w:p>
      <w:pPr>
        <w:spacing w:before="280" w:after="100"/>
      </w:pPr>
      <w:r>
        <w:rPr>
          <w:rFonts w:ascii="DM Sans" w:hAnsi="DM Sans" w:cs="DM Sans"/>
          <w:b/>
          <w:i w:val="0"/>
          <w:color w:val="050C2A"/>
          <w:sz w:val="28"/>
          <w:u w:val="none"/>
        </w:rPr>
        <w:t>End-of-Project Employer Survey (Week 15)</w:t>
      </w:r>
    </w:p>
    <w:p>
      <w:pPr>
        <w:spacing w:before="240" w:after="80"/>
      </w:pPr>
      <w:r>
        <w:rPr>
          <w:rFonts w:ascii="DM Sans" w:hAnsi="DM Sans" w:cs="DM Sans"/>
          <w:b/>
          <w:i w:val="0"/>
          <w:color w:val="050C2A"/>
          <w:sz w:val="24"/>
          <w:u w:val="none"/>
        </w:rPr>
        <w:t>Purpose</w:t>
      </w:r>
    </w:p>
    <w:p>
      <w:pPr>
        <w:spacing w:before="0" w:after="120" w:line="276" w:lineRule="auto"/>
      </w:pPr>
      <w:r>
        <w:rPr>
          <w:rFonts w:ascii="DM Sans" w:hAnsi="DM Sans" w:cs="DM Sans"/>
          <w:b w:val="0"/>
          <w:i w:val="0"/>
          <w:color w:val="050C2A"/>
          <w:sz w:val="20"/>
          <w:u w:val="none"/>
        </w:rPr>
        <w:t>Summative assessment of the full employer-team partnership. The end-of-project survey captures the employer's experience across the entire 15-week engagement, including all seven touchpoints, email communication, and the quality of the final deliverables. It contributes to the final Professional Engagement score.</w:t>
      </w:r>
    </w:p>
    <w:p>
      <w:pPr>
        <w:spacing w:before="240" w:after="80"/>
      </w:pPr>
      <w:r>
        <w:rPr>
          <w:rFonts w:ascii="DM Sans" w:hAnsi="DM Sans" w:cs="DM Sans"/>
          <w:b/>
          <w:i w:val="0"/>
          <w:color w:val="050C2A"/>
          <w:sz w:val="24"/>
          <w:u w:val="none"/>
        </w:rPr>
        <w:t>Timing</w:t>
      </w:r>
    </w:p>
    <w:p>
      <w:pPr>
        <w:spacing w:before="0" w:after="120" w:line="276" w:lineRule="auto"/>
      </w:pPr>
      <w:r>
        <w:rPr>
          <w:rFonts w:ascii="DM Sans" w:hAnsi="DM Sans" w:cs="DM Sans"/>
          <w:b w:val="0"/>
          <w:i w:val="0"/>
          <w:color w:val="050C2A"/>
          <w:sz w:val="20"/>
          <w:u w:val="none"/>
        </w:rPr>
        <w:t>Administered after the Final Presentation (Week 15), ideally within one week while the complete experience is still fresh.</w:t>
      </w:r>
    </w:p>
    <w:p>
      <w:pPr>
        <w:spacing w:before="240" w:after="80"/>
      </w:pPr>
      <w:r>
        <w:rPr>
          <w:rFonts w:ascii="DM Sans" w:hAnsi="DM Sans" w:cs="DM Sans"/>
          <w:b/>
          <w:i w:val="0"/>
          <w:color w:val="050C2A"/>
          <w:sz w:val="24"/>
          <w:u w:val="none"/>
        </w:rPr>
        <w:t>Survey Weight</w:t>
      </w:r>
    </w:p>
    <w:p>
      <w:pPr>
        <w:spacing w:before="0" w:after="120" w:line="276" w:lineRule="auto"/>
      </w:pPr>
      <w:r>
        <w:rPr>
          <w:rFonts w:ascii="DM Sans" w:hAnsi="DM Sans" w:cs="DM Sans"/>
          <w:b w:val="0"/>
          <w:i w:val="0"/>
          <w:color w:val="050C2A"/>
          <w:sz w:val="20"/>
          <w:u w:val="none"/>
        </w:rPr>
        <w:t>The end-of-project survey contributes 70% of the overall employer feedback score. The summative weight is deliberately higher because it reflects the complete arc of the professional relationship.</w:t>
      </w:r>
    </w:p>
    <w:p>
      <w:pPr>
        <w:spacing w:before="240" w:after="80"/>
      </w:pPr>
      <w:r>
        <w:rPr>
          <w:rFonts w:ascii="DM Sans" w:hAnsi="DM Sans" w:cs="DM Sans"/>
          <w:b/>
          <w:i w:val="0"/>
          <w:color w:val="050C2A"/>
          <w:sz w:val="24"/>
          <w:u w:val="none"/>
        </w:rPr>
        <w:t>Instrument</w:t>
      </w:r>
    </w:p>
    <w:p>
      <w:pPr>
        <w:spacing w:before="0" w:after="120" w:line="276" w:lineRule="auto"/>
      </w:pPr>
      <w:r>
        <w:rPr>
          <w:rFonts w:ascii="DM Sans" w:hAnsi="DM Sans" w:cs="DM Sans"/>
          <w:b w:val="0"/>
          <w:i w:val="0"/>
          <w:color w:val="050C2A"/>
          <w:sz w:val="20"/>
          <w:u w:val="none"/>
        </w:rPr>
        <w:t>Seven items total. Estimated completion time: 5 minutes.</w:t>
      </w:r>
    </w:p>
    <w:p>
      <w:pPr>
        <w:spacing w:before="200" w:after="60"/>
      </w:pPr>
      <w:r>
        <w:rPr>
          <w:rFonts w:ascii="DM Sans" w:hAnsi="DM Sans" w:cs="DM Sans"/>
          <w:b/>
          <w:i w:val="0"/>
          <w:color w:val="050C2A"/>
          <w:sz w:val="22"/>
          <w:u w:val="none"/>
        </w:rPr>
        <w:t>Items 1–3: BARS Ratings (same dimensions as mid-project)</w:t>
      </w:r>
    </w:p>
    <w:p>
      <w:pPr>
        <w:spacing w:before="0" w:after="120" w:line="276" w:lineRule="auto"/>
      </w:pPr>
      <w:r>
        <w:rPr>
          <w:rFonts w:ascii="DM Sans" w:hAnsi="DM Sans" w:cs="DM Sans"/>
          <w:b w:val="0"/>
          <w:i w:val="0"/>
          <w:color w:val="050C2A"/>
          <w:sz w:val="20"/>
          <w:u w:val="none"/>
        </w:rPr>
        <w:t>The same three dimensions — Communication, Preparedness, Responsiveness — using the same BARS anchors. The prompt framing is adjusted to reflect the full project: "Considering the entire project from start to finish..."</w:t>
      </w:r>
    </w:p>
    <w:p>
      <w:pPr>
        <w:spacing w:before="0" w:after="120" w:line="276" w:lineRule="auto"/>
      </w:pPr>
      <w:r>
        <w:rPr>
          <w:rFonts w:ascii="DM Sans" w:hAnsi="DM Sans" w:cs="DM Sans"/>
          <w:b w:val="0"/>
          <w:i w:val="0"/>
          <w:color w:val="050C2A"/>
          <w:sz w:val="20"/>
          <w:u w:val="none"/>
        </w:rPr>
        <w:t>Using the same dimensions at both points allows for direct comparison. If a team scored 2 on Responsiveness at mid-project and 4 at end-of-project, that improvement is visible and meaningful — and it validates that the formative feedback loop worked.</w:t>
      </w:r>
    </w:p>
    <w:p>
      <w:pPr>
        <w:spacing w:before="200" w:after="60"/>
      </w:pPr>
      <w:r>
        <w:rPr>
          <w:rFonts w:ascii="DM Sans" w:hAnsi="DM Sans" w:cs="DM Sans"/>
          <w:b/>
          <w:i w:val="0"/>
          <w:color w:val="050C2A"/>
          <w:sz w:val="22"/>
          <w:u w:val="none"/>
        </w:rPr>
        <w:t>Item 4: Deliverable Quality</w:t>
      </w:r>
    </w:p>
    <w:p>
      <w:pPr>
        <w:spacing w:before="0" w:after="120" w:line="276" w:lineRule="auto"/>
      </w:pPr>
      <w:r>
        <w:rPr>
          <w:rFonts w:ascii="DM Sans" w:hAnsi="DM Sans" w:cs="DM Sans"/>
          <w:b/>
          <w:i w:val="0"/>
          <w:color w:val="050C2A"/>
          <w:sz w:val="20"/>
          <w:u w:val="none"/>
        </w:rPr>
        <w:t>"Based on the final work product, how would you rate the overall quality of what this team delivered?"</w:t>
      </w:r>
    </w:p>
    <w:p>
      <w:pPr>
        <w:spacing w:before="0" w:after="120" w:line="276" w:lineRule="auto"/>
      </w:pPr>
      <w:r>
        <w:rPr>
          <w:rFonts w:ascii="DM Sans" w:hAnsi="DM Sans" w:cs="DM Sans"/>
          <w:b w:val="0"/>
          <w:i w:val="0"/>
          <w:color w:val="050C2A"/>
          <w:sz w:val="20"/>
          <w:u w:val="none"/>
        </w:rPr>
        <w:t>This dimension is summative-only — it cannot be assessed mid-project because the deliverables are not yet complete.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03"/>
            <w:shd w:fill="FF7C0A" w:val="clear"/>
            <w:vAlign w:val="center"/>
          </w:tcPr>
          <w:p>
            <w:pPr>
              <w:jc w:val="left"/>
              <w:spacing w:before="40" w:after="40"/>
            </w:pPr>
            <w:r>
              <w:rPr>
                <w:rFonts w:ascii="DM Sans" w:hAnsi="DM Sans" w:cs="DM Sans"/>
                <w:b/>
                <w:i w:val="0"/>
                <w:color w:val="FFFFFF"/>
                <w:sz w:val="20"/>
                <w:u w:val="none"/>
              </w:rPr>
              <w:t>Rating</w:t>
            </w:r>
          </w:p>
        </w:tc>
        <w:tc>
          <w:tcPr>
            <w:tcW w:type="dxa" w:w="2112"/>
            <w:shd w:fill="FF7C0A" w:val="clear"/>
            <w:vAlign w:val="center"/>
          </w:tcPr>
          <w:p>
            <w:pPr>
              <w:jc w:val="left"/>
              <w:spacing w:before="40" w:after="40"/>
            </w:pPr>
            <w:r>
              <w:rPr>
                <w:rFonts w:ascii="DM Sans" w:hAnsi="DM Sans" w:cs="DM Sans"/>
                <w:b/>
                <w:i w:val="0"/>
                <w:color w:val="FFFFFF"/>
                <w:sz w:val="20"/>
                <w:u w:val="none"/>
              </w:rPr>
              <w:t>Descriptor</w:t>
            </w:r>
          </w:p>
        </w:tc>
        <w:tc>
          <w:tcPr>
            <w:tcW w:type="dxa" w:w="6145"/>
            <w:shd w:fill="FF7C0A" w:val="clear"/>
            <w:vAlign w:val="center"/>
          </w:tcPr>
          <w:p>
            <w:pPr>
              <w:jc w:val="left"/>
              <w:spacing w:before="40" w:after="40"/>
            </w:pPr>
            <w:r>
              <w:rPr>
                <w:rFonts w:ascii="DM Sans" w:hAnsi="DM Sans" w:cs="DM Sans"/>
                <w:b/>
                <w:i w:val="0"/>
                <w:color w:val="FFFFFF"/>
                <w:sz w:val="20"/>
                <w:u w:val="none"/>
              </w:rPr>
              <w:t>Behavioral Anchor</w:t>
            </w:r>
          </w:p>
        </w:tc>
      </w:tr>
      <w:tr>
        <w:tc>
          <w:tcPr>
            <w:tcW w:type="dxa" w:w="1103"/>
            <w:vAlign w:val="center"/>
          </w:tcPr>
          <w:p>
            <w:pPr>
              <w:spacing w:before="30" w:after="30"/>
            </w:pPr>
            <w:r>
              <w:rPr>
                <w:rFonts w:ascii="DM Sans" w:hAnsi="DM Sans" w:cs="DM Sans"/>
                <w:b/>
                <w:i w:val="0"/>
                <w:color w:val="050C2A"/>
                <w:sz w:val="20"/>
                <w:u w:val="none"/>
              </w:rPr>
              <w:t>4</w:t>
            </w:r>
          </w:p>
        </w:tc>
        <w:tc>
          <w:tcPr>
            <w:tcW w:type="dxa" w:w="2112"/>
            <w:vAlign w:val="center"/>
          </w:tcPr>
          <w:p>
            <w:pPr>
              <w:spacing w:before="30" w:after="30"/>
            </w:pPr>
            <w:r>
              <w:rPr>
                <w:rFonts w:ascii="DM Sans" w:hAnsi="DM Sans" w:cs="DM Sans"/>
                <w:b/>
                <w:i w:val="0"/>
                <w:color w:val="050C2A"/>
                <w:sz w:val="20"/>
                <w:u w:val="none"/>
              </w:rPr>
              <w:t>Excellent</w:t>
            </w:r>
          </w:p>
        </w:tc>
        <w:tc>
          <w:tcPr>
            <w:tcW w:type="dxa" w:w="6145"/>
            <w:vAlign w:val="center"/>
          </w:tcPr>
          <w:p>
            <w:pPr>
              <w:spacing w:before="30" w:after="30"/>
            </w:pPr>
            <w:r>
              <w:rPr>
                <w:rFonts w:ascii="DM Sans" w:hAnsi="DM Sans" w:cs="DM Sans"/>
                <w:b w:val="0"/>
                <w:i w:val="0"/>
                <w:color w:val="050C2A"/>
                <w:sz w:val="20"/>
                <w:u w:val="none"/>
              </w:rPr>
              <w:t>The final deliverables exceed my expectations. The work is thorough, well-organized, and directly useful to my organization. I could share this with colleagues or leadership as-is.</w:t>
            </w:r>
          </w:p>
        </w:tc>
      </w:tr>
      <w:tr>
        <w:tc>
          <w:tcPr>
            <w:tcW w:type="dxa" w:w="1103"/>
            <w:shd w:fill="F5F5F5" w:val="clear"/>
            <w:vAlign w:val="center"/>
          </w:tcPr>
          <w:p>
            <w:pPr>
              <w:spacing w:before="30" w:after="30"/>
            </w:pPr>
            <w:r>
              <w:rPr>
                <w:rFonts w:ascii="DM Sans" w:hAnsi="DM Sans" w:cs="DM Sans"/>
                <w:b/>
                <w:i w:val="0"/>
                <w:color w:val="050C2A"/>
                <w:sz w:val="20"/>
                <w:u w:val="none"/>
              </w:rPr>
              <w:t>3</w:t>
            </w:r>
          </w:p>
        </w:tc>
        <w:tc>
          <w:tcPr>
            <w:tcW w:type="dxa" w:w="2112"/>
            <w:shd w:fill="F5F5F5" w:val="clear"/>
            <w:vAlign w:val="center"/>
          </w:tcPr>
          <w:p>
            <w:pPr>
              <w:spacing w:before="30" w:after="30"/>
            </w:pPr>
            <w:r>
              <w:rPr>
                <w:rFonts w:ascii="DM Sans" w:hAnsi="DM Sans" w:cs="DM Sans"/>
                <w:b/>
                <w:i w:val="0"/>
                <w:color w:val="050C2A"/>
                <w:sz w:val="20"/>
                <w:u w:val="none"/>
              </w:rPr>
              <w:t>Good</w:t>
            </w:r>
          </w:p>
        </w:tc>
        <w:tc>
          <w:tcPr>
            <w:tcW w:type="dxa" w:w="6145"/>
            <w:shd w:fill="F5F5F5" w:val="clear"/>
            <w:vAlign w:val="center"/>
          </w:tcPr>
          <w:p>
            <w:pPr>
              <w:spacing w:before="30" w:after="30"/>
            </w:pPr>
            <w:r>
              <w:rPr>
                <w:rFonts w:ascii="DM Sans" w:hAnsi="DM Sans" w:cs="DM Sans"/>
                <w:b w:val="0"/>
                <w:i w:val="0"/>
                <w:color w:val="050C2A"/>
                <w:sz w:val="20"/>
                <w:u w:val="none"/>
              </w:rPr>
              <w:t>The final deliverables meet my expectations. The work is solid and useful, though there are areas where it could be stronger. With minor adjustments, I could use this in my organization.</w:t>
            </w:r>
          </w:p>
        </w:tc>
      </w:tr>
      <w:tr>
        <w:tc>
          <w:tcPr>
            <w:tcW w:type="dxa" w:w="1103"/>
            <w:vAlign w:val="center"/>
          </w:tcPr>
          <w:p>
            <w:pPr>
              <w:spacing w:before="30" w:after="30"/>
            </w:pPr>
            <w:r>
              <w:rPr>
                <w:rFonts w:ascii="DM Sans" w:hAnsi="DM Sans" w:cs="DM Sans"/>
                <w:b/>
                <w:i w:val="0"/>
                <w:color w:val="050C2A"/>
                <w:sz w:val="20"/>
                <w:u w:val="none"/>
              </w:rPr>
              <w:t>2</w:t>
            </w:r>
          </w:p>
        </w:tc>
        <w:tc>
          <w:tcPr>
            <w:tcW w:type="dxa" w:w="2112"/>
            <w:vAlign w:val="center"/>
          </w:tcPr>
          <w:p>
            <w:pPr>
              <w:spacing w:before="30" w:after="30"/>
            </w:pPr>
            <w:r>
              <w:rPr>
                <w:rFonts w:ascii="DM Sans" w:hAnsi="DM Sans" w:cs="DM Sans"/>
                <w:b/>
                <w:i w:val="0"/>
                <w:color w:val="050C2A"/>
                <w:sz w:val="20"/>
                <w:u w:val="none"/>
              </w:rPr>
              <w:t>Below Expectations</w:t>
            </w:r>
          </w:p>
        </w:tc>
        <w:tc>
          <w:tcPr>
            <w:tcW w:type="dxa" w:w="6145"/>
            <w:vAlign w:val="center"/>
          </w:tcPr>
          <w:p>
            <w:pPr>
              <w:spacing w:before="30" w:after="30"/>
            </w:pPr>
            <w:r>
              <w:rPr>
                <w:rFonts w:ascii="DM Sans" w:hAnsi="DM Sans" w:cs="DM Sans"/>
                <w:b w:val="0"/>
                <w:i w:val="0"/>
                <w:color w:val="050C2A"/>
                <w:sz w:val="20"/>
                <w:u w:val="none"/>
              </w:rPr>
              <w:t>The final deliverables partially meet my expectations. Some sections are useful, but others need significant work before I could act on them. The overall quality is uneven.</w:t>
            </w:r>
          </w:p>
        </w:tc>
      </w:tr>
      <w:tr>
        <w:tc>
          <w:tcPr>
            <w:tcW w:type="dxa" w:w="1103"/>
            <w:shd w:fill="F5F5F5" w:val="clear"/>
            <w:vAlign w:val="center"/>
          </w:tcPr>
          <w:p>
            <w:pPr>
              <w:spacing w:before="30" w:after="30"/>
            </w:pPr>
            <w:r>
              <w:rPr>
                <w:rFonts w:ascii="DM Sans" w:hAnsi="DM Sans" w:cs="DM Sans"/>
                <w:b/>
                <w:i w:val="0"/>
                <w:color w:val="050C2A"/>
                <w:sz w:val="20"/>
                <w:u w:val="none"/>
              </w:rPr>
              <w:t>1</w:t>
            </w:r>
          </w:p>
        </w:tc>
        <w:tc>
          <w:tcPr>
            <w:tcW w:type="dxa" w:w="2112"/>
            <w:shd w:fill="F5F5F5" w:val="clear"/>
            <w:vAlign w:val="center"/>
          </w:tcPr>
          <w:p>
            <w:pPr>
              <w:spacing w:before="30" w:after="30"/>
            </w:pPr>
            <w:r>
              <w:rPr>
                <w:rFonts w:ascii="DM Sans" w:hAnsi="DM Sans" w:cs="DM Sans"/>
                <w:b/>
                <w:i w:val="0"/>
                <w:color w:val="050C2A"/>
                <w:sz w:val="20"/>
                <w:u w:val="none"/>
              </w:rPr>
              <w:t>Unsatisfactory</w:t>
            </w:r>
          </w:p>
        </w:tc>
        <w:tc>
          <w:tcPr>
            <w:tcW w:type="dxa" w:w="6145"/>
            <w:shd w:fill="F5F5F5" w:val="clear"/>
            <w:vAlign w:val="center"/>
          </w:tcPr>
          <w:p>
            <w:pPr>
              <w:spacing w:before="30" w:after="30"/>
            </w:pPr>
            <w:r>
              <w:rPr>
                <w:rFonts w:ascii="DM Sans" w:hAnsi="DM Sans" w:cs="DM Sans"/>
                <w:b w:val="0"/>
                <w:i w:val="0"/>
                <w:color w:val="050C2A"/>
                <w:sz w:val="20"/>
                <w:u w:val="none"/>
              </w:rPr>
              <w:t>The final deliverables do not meet my expectations. The work is incomplete, off-target, or of insufficient quality to be useful to my organization.</w:t>
            </w:r>
          </w:p>
        </w:tc>
      </w:tr>
    </w:tbl>
    <w:p>
      <w:pPr>
        <w:spacing w:before="0" w:after="120"/>
      </w:pPr>
    </w:p>
    <w:p>
      <w:pPr>
        <w:spacing w:before="0" w:after="120" w:line="276" w:lineRule="auto"/>
      </w:pPr>
      <w:r>
        <w:rPr>
          <w:rFonts w:ascii="DM Sans" w:hAnsi="DM Sans" w:cs="DM Sans"/>
          <w:b w:val="0"/>
          <w:i w:val="0"/>
          <w:color w:val="050C2A"/>
          <w:sz w:val="20"/>
          <w:u w:val="none"/>
        </w:rPr>
        <w:t>Note: This dimension is used by the instructor as context for evaluating the Final Deliverables rubric score, not as a direct grade input on the deliverables themselves. It provides the employer's subjective assessment of utility, which may differ from the academic assessment of quality.</w:t>
      </w:r>
    </w:p>
    <w:p>
      <w:pPr>
        <w:spacing w:before="200" w:after="60"/>
      </w:pPr>
      <w:r>
        <w:rPr>
          <w:rFonts w:ascii="DM Sans" w:hAnsi="DM Sans" w:cs="DM Sans"/>
          <w:b/>
          <w:i w:val="0"/>
          <w:color w:val="050C2A"/>
          <w:sz w:val="22"/>
          <w:u w:val="none"/>
        </w:rPr>
        <w:t>Item 5: Partnership Quality</w:t>
      </w:r>
    </w:p>
    <w:p>
      <w:pPr>
        <w:spacing w:before="0" w:after="120" w:line="276" w:lineRule="auto"/>
      </w:pPr>
      <w:r>
        <w:rPr>
          <w:rFonts w:ascii="DM Sans" w:hAnsi="DM Sans" w:cs="DM Sans"/>
          <w:b/>
          <w:i w:val="0"/>
          <w:color w:val="050C2A"/>
          <w:sz w:val="20"/>
          <w:u w:val="none"/>
        </w:rPr>
        <w:t>"Would you work with this team again on a future project?"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926"/>
            <w:shd w:fill="FF7C0A" w:val="clear"/>
            <w:vAlign w:val="center"/>
          </w:tcPr>
          <w:p>
            <w:pPr>
              <w:jc w:val="left"/>
              <w:spacing w:before="40" w:after="40"/>
            </w:pPr>
            <w:r>
              <w:rPr>
                <w:rFonts w:ascii="DM Sans" w:hAnsi="DM Sans" w:cs="DM Sans"/>
                <w:b/>
                <w:i w:val="0"/>
                <w:color w:val="FFFFFF"/>
                <w:sz w:val="20"/>
                <w:u w:val="none"/>
              </w:rPr>
              <w:t>Response</w:t>
            </w:r>
          </w:p>
        </w:tc>
        <w:tc>
          <w:tcPr>
            <w:tcW w:type="dxa" w:w="6434"/>
            <w:shd w:fill="FF7C0A" w:val="clear"/>
            <w:vAlign w:val="center"/>
          </w:tcPr>
          <w:p>
            <w:pPr>
              <w:jc w:val="left"/>
              <w:spacing w:before="40" w:after="40"/>
            </w:pPr>
            <w:r>
              <w:rPr>
                <w:rFonts w:ascii="DM Sans" w:hAnsi="DM Sans" w:cs="DM Sans"/>
                <w:b/>
                <w:i w:val="0"/>
                <w:color w:val="FFFFFF"/>
                <w:sz w:val="20"/>
                <w:u w:val="none"/>
              </w:rPr>
              <w:t>Meaning</w:t>
            </w:r>
          </w:p>
        </w:tc>
      </w:tr>
      <w:tr>
        <w:tc>
          <w:tcPr>
            <w:tcW w:type="dxa" w:w="2926"/>
            <w:vAlign w:val="center"/>
          </w:tcPr>
          <w:p>
            <w:pPr>
              <w:spacing w:before="30" w:after="30"/>
            </w:pPr>
            <w:r>
              <w:rPr>
                <w:rFonts w:ascii="DM Sans" w:hAnsi="DM Sans" w:cs="DM Sans"/>
                <w:b/>
                <w:i w:val="0"/>
                <w:color w:val="050C2A"/>
                <w:sz w:val="20"/>
                <w:u w:val="none"/>
              </w:rPr>
              <w:t>Definitely yes</w:t>
            </w:r>
          </w:p>
        </w:tc>
        <w:tc>
          <w:tcPr>
            <w:tcW w:type="dxa" w:w="6434"/>
            <w:vAlign w:val="center"/>
          </w:tcPr>
          <w:p>
            <w:pPr>
              <w:spacing w:before="30" w:after="30"/>
            </w:pPr>
            <w:r>
              <w:rPr>
                <w:rFonts w:ascii="DM Sans" w:hAnsi="DM Sans" w:cs="DM Sans"/>
                <w:b w:val="0"/>
                <w:i w:val="0"/>
                <w:color w:val="050C2A"/>
                <w:sz w:val="20"/>
                <w:u w:val="none"/>
              </w:rPr>
              <w:t>Strong positive signal — team met or exceeded professional expectations</w:t>
            </w:r>
          </w:p>
        </w:tc>
      </w:tr>
      <w:tr>
        <w:tc>
          <w:tcPr>
            <w:tcW w:type="dxa" w:w="2926"/>
            <w:shd w:fill="F5F5F5" w:val="clear"/>
            <w:vAlign w:val="center"/>
          </w:tcPr>
          <w:p>
            <w:pPr>
              <w:spacing w:before="30" w:after="30"/>
            </w:pPr>
            <w:r>
              <w:rPr>
                <w:rFonts w:ascii="DM Sans" w:hAnsi="DM Sans" w:cs="DM Sans"/>
                <w:b/>
                <w:i w:val="0"/>
                <w:color w:val="050C2A"/>
                <w:sz w:val="20"/>
                <w:u w:val="none"/>
              </w:rPr>
              <w:t>Probably yes</w:t>
            </w:r>
          </w:p>
        </w:tc>
        <w:tc>
          <w:tcPr>
            <w:tcW w:type="dxa" w:w="6434"/>
            <w:shd w:fill="F5F5F5" w:val="clear"/>
            <w:vAlign w:val="center"/>
          </w:tcPr>
          <w:p>
            <w:pPr>
              <w:spacing w:before="30" w:after="30"/>
            </w:pPr>
            <w:r>
              <w:rPr>
                <w:rFonts w:ascii="DM Sans" w:hAnsi="DM Sans" w:cs="DM Sans"/>
                <w:b w:val="0"/>
                <w:i w:val="0"/>
                <w:color w:val="050C2A"/>
                <w:sz w:val="20"/>
                <w:u w:val="none"/>
              </w:rPr>
              <w:t>Positive signal — team was generally professional and productive</w:t>
            </w:r>
          </w:p>
        </w:tc>
      </w:tr>
      <w:tr>
        <w:tc>
          <w:tcPr>
            <w:tcW w:type="dxa" w:w="2926"/>
            <w:vAlign w:val="center"/>
          </w:tcPr>
          <w:p>
            <w:pPr>
              <w:spacing w:before="30" w:after="30"/>
            </w:pPr>
            <w:r>
              <w:rPr>
                <w:rFonts w:ascii="DM Sans" w:hAnsi="DM Sans" w:cs="DM Sans"/>
                <w:b/>
                <w:i w:val="0"/>
                <w:color w:val="050C2A"/>
                <w:sz w:val="20"/>
                <w:u w:val="none"/>
              </w:rPr>
              <w:t>Probably not</w:t>
            </w:r>
          </w:p>
        </w:tc>
        <w:tc>
          <w:tcPr>
            <w:tcW w:type="dxa" w:w="6434"/>
            <w:vAlign w:val="center"/>
          </w:tcPr>
          <w:p>
            <w:pPr>
              <w:spacing w:before="30" w:after="30"/>
            </w:pPr>
            <w:r>
              <w:rPr>
                <w:rFonts w:ascii="DM Sans" w:hAnsi="DM Sans" w:cs="DM Sans"/>
                <w:b w:val="0"/>
                <w:i w:val="0"/>
                <w:color w:val="050C2A"/>
                <w:sz w:val="20"/>
                <w:u w:val="none"/>
              </w:rPr>
              <w:t>Negative signal — significant concerns about professionalism, communication, or quality</w:t>
            </w:r>
          </w:p>
        </w:tc>
      </w:tr>
      <w:tr>
        <w:tc>
          <w:tcPr>
            <w:tcW w:type="dxa" w:w="2926"/>
            <w:shd w:fill="F5F5F5" w:val="clear"/>
            <w:vAlign w:val="center"/>
          </w:tcPr>
          <w:p>
            <w:pPr>
              <w:spacing w:before="30" w:after="30"/>
            </w:pPr>
            <w:r>
              <w:rPr>
                <w:rFonts w:ascii="DM Sans" w:hAnsi="DM Sans" w:cs="DM Sans"/>
                <w:b/>
                <w:i w:val="0"/>
                <w:color w:val="050C2A"/>
                <w:sz w:val="20"/>
                <w:u w:val="none"/>
              </w:rPr>
              <w:t>Definitely not</w:t>
            </w:r>
          </w:p>
        </w:tc>
        <w:tc>
          <w:tcPr>
            <w:tcW w:type="dxa" w:w="6434"/>
            <w:shd w:fill="F5F5F5" w:val="clear"/>
            <w:vAlign w:val="center"/>
          </w:tcPr>
          <w:p>
            <w:pPr>
              <w:spacing w:before="30" w:after="30"/>
            </w:pPr>
            <w:r>
              <w:rPr>
                <w:rFonts w:ascii="DM Sans" w:hAnsi="DM Sans" w:cs="DM Sans"/>
                <w:b w:val="0"/>
                <w:i w:val="0"/>
                <w:color w:val="050C2A"/>
                <w:sz w:val="20"/>
                <w:u w:val="none"/>
              </w:rPr>
              <w:t>Strong negative signal — team failed to meet basic professional standards</w:t>
            </w:r>
          </w:p>
        </w:tc>
      </w:tr>
    </w:tbl>
    <w:p>
      <w:pPr>
        <w:spacing w:before="0" w:after="120"/>
      </w:pPr>
    </w:p>
    <w:p>
      <w:pPr>
        <w:spacing w:before="0" w:after="120" w:line="276" w:lineRule="auto"/>
      </w:pPr>
      <w:r>
        <w:rPr>
          <w:rFonts w:ascii="DM Sans" w:hAnsi="DM Sans" w:cs="DM Sans"/>
          <w:b w:val="0"/>
          <w:i w:val="0"/>
          <w:color w:val="050C2A"/>
          <w:sz w:val="20"/>
          <w:u w:val="none"/>
        </w:rPr>
        <w:t>This is the single strongest summary signal in the employer survey. It captures the employer's holistic judgment in a way that no individual dimension can. "Would you work with them again?" is the question that matters most in professional contexts, and it is the one employers can answer most intuitively.</w:t>
      </w:r>
    </w:p>
    <w:p>
      <w:pPr>
        <w:spacing w:before="200" w:after="60"/>
      </w:pPr>
      <w:r>
        <w:rPr>
          <w:rFonts w:ascii="DM Sans" w:hAnsi="DM Sans" w:cs="DM Sans"/>
          <w:b/>
          <w:i w:val="0"/>
          <w:color w:val="050C2A"/>
          <w:sz w:val="22"/>
          <w:u w:val="none"/>
        </w:rPr>
        <w:t>Item 6: Qualitative Feedback</w:t>
      </w:r>
    </w:p>
    <w:p>
      <w:pPr>
        <w:spacing w:before="0" w:after="120" w:line="276" w:lineRule="auto"/>
      </w:pPr>
      <w:r>
        <w:rPr>
          <w:rFonts w:ascii="DM Sans" w:hAnsi="DM Sans" w:cs="DM Sans"/>
          <w:b/>
          <w:i w:val="0"/>
          <w:color w:val="050C2A"/>
          <w:sz w:val="20"/>
          <w:u w:val="none"/>
        </w:rPr>
        <w:t>"Is there anything you would like the instructor to know about your experience working with this team?"</w:t>
      </w:r>
    </w:p>
    <w:p>
      <w:pPr>
        <w:spacing w:before="0" w:after="120" w:line="276" w:lineRule="auto"/>
      </w:pPr>
      <w:r>
        <w:rPr>
          <w:rFonts w:ascii="DM Sans" w:hAnsi="DM Sans" w:cs="DM Sans"/>
          <w:b w:val="0"/>
          <w:i w:val="0"/>
          <w:color w:val="050C2A"/>
          <w:sz w:val="20"/>
          <w:u w:val="none"/>
        </w:rPr>
        <w:t>Open-ended, instructor-only. This catches anything the structured questions miss — for example, an employer who rated the team well overall but had one significant concern, or an employer who wants to highlight an exceptional contribution.</w:t>
      </w:r>
    </w:p>
    <w:p>
      <w:pPr>
        <w:spacing w:before="200" w:after="60"/>
      </w:pPr>
      <w:r>
        <w:rPr>
          <w:rFonts w:ascii="DM Sans" w:hAnsi="DM Sans" w:cs="DM Sans"/>
          <w:b/>
          <w:i w:val="0"/>
          <w:color w:val="050C2A"/>
          <w:sz w:val="22"/>
          <w:u w:val="none"/>
        </w:rPr>
        <w:t>Item 7: Confidence Signal (instructor-only)</w:t>
      </w:r>
    </w:p>
    <w:p>
      <w:pPr>
        <w:spacing w:before="0" w:after="120" w:line="276" w:lineRule="auto"/>
      </w:pPr>
      <w:r>
        <w:rPr>
          <w:rFonts w:ascii="DM Sans" w:hAnsi="DM Sans" w:cs="DM Sans"/>
          <w:b/>
          <w:i w:val="0"/>
          <w:color w:val="050C2A"/>
          <w:sz w:val="20"/>
          <w:u w:val="none"/>
        </w:rPr>
        <w:t>"Overall, how satisfied are you with this team's professionalism throughout the project?"</w:t>
      </w:r>
    </w:p>
    <w:p>
      <w:pPr>
        <w:spacing w:before="0" w:after="120" w:line="276" w:lineRule="auto"/>
      </w:pPr>
      <w:r>
        <w:rPr>
          <w:rFonts w:ascii="DM Sans" w:hAnsi="DM Sans" w:cs="DM Sans"/>
          <w:b w:val="0"/>
          <w:i w:val="0"/>
          <w:color w:val="050C2A"/>
          <w:sz w:val="20"/>
          <w:u w:val="none"/>
        </w:rPr>
        <w:t>Scale: 1–10</w:t>
      </w:r>
    </w:p>
    <w:p>
      <w:pPr>
        <w:spacing w:before="0" w:after="120" w:line="276" w:lineRule="auto"/>
      </w:pPr>
      <w:r>
        <w:rPr>
          <w:rFonts w:ascii="DM Sans" w:hAnsi="DM Sans" w:cs="DM Sans"/>
          <w:b w:val="0"/>
          <w:i w:val="0"/>
          <w:color w:val="050C2A"/>
          <w:sz w:val="20"/>
          <w:u w:val="none"/>
        </w:rPr>
        <w:t>Provides a single numeric summary that the instructor can compare against the BARS ratings for consistency. A high BARS average paired with a low satisfaction score (or vice versa) suggests the structured questions may not have captured the full picture and warrants instructor follow-up.</w:t>
      </w:r>
    </w:p>
    <w:p>
      <w:pPr>
        <w:spacing w:before="280" w:after="100"/>
      </w:pPr>
      <w:r>
        <w:rPr>
          <w:rFonts w:ascii="DM Sans" w:hAnsi="DM Sans" w:cs="DM Sans"/>
          <w:b/>
          <w:i w:val="0"/>
          <w:color w:val="050C2A"/>
          <w:sz w:val="28"/>
          <w:u w:val="none"/>
        </w:rPr>
        <w:t>How Results Flow to Students</w:t>
      </w:r>
    </w:p>
    <w:p>
      <w:pPr>
        <w:spacing w:before="240" w:after="80"/>
      </w:pPr>
      <w:r>
        <w:rPr>
          <w:rFonts w:ascii="DM Sans" w:hAnsi="DM Sans" w:cs="DM Sans"/>
          <w:b/>
          <w:i w:val="0"/>
          <w:color w:val="050C2A"/>
          <w:sz w:val="24"/>
          <w:u w:val="none"/>
        </w:rPr>
        <w:t>Mid-Project (Week 8 → Week 9)</w:t>
      </w:r>
    </w:p>
    <w:p>
      <w:pPr>
        <w:spacing w:before="0" w:after="120" w:line="276" w:lineRule="auto"/>
      </w:pPr>
      <w:r>
        <w:rPr>
          <w:rFonts w:ascii="DM Sans" w:hAnsi="DM Sans" w:cs="DM Sans"/>
          <w:b w:val="0"/>
          <w:i w:val="0"/>
          <w:color w:val="050C2A"/>
          <w:sz w:val="20"/>
          <w:u w:val="none"/>
        </w:rPr>
        <w:t>The mid-project survey results are shared with the team and processed in the Week 9 Team Processing Session alongside peer evaluation feedback:</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BARS ratings (Items 1–3):</w:t>
      </w:r>
      <w:r>
        <w:rPr>
          <w:rFonts w:ascii="DM Sans" w:hAnsi="DM Sans" w:cs="DM Sans"/>
          <w:b w:val="0"/>
          <w:i w:val="0"/>
          <w:color w:val="050C2A"/>
          <w:sz w:val="20"/>
          <w:u w:val="none"/>
        </w:rPr>
        <w:t xml:space="preserve"> Shared as the three dimension scores. No aggregation needed — there is one employer, so the scores are direct.</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Qualitative feedback (Item 4):</w:t>
      </w:r>
      <w:r>
        <w:rPr>
          <w:rFonts w:ascii="DM Sans" w:hAnsi="DM Sans" w:cs="DM Sans"/>
          <w:b w:val="0"/>
          <w:i w:val="0"/>
          <w:color w:val="050C2A"/>
          <w:sz w:val="20"/>
          <w:u w:val="none"/>
        </w:rPr>
        <w:t xml:space="preserve"> Shared verbatim with the team. The employer's specific suggestion becomes an action item for the second half of the project.</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Confidence signal (Item 5):</w:t>
      </w:r>
      <w:r>
        <w:rPr>
          <w:rFonts w:ascii="DM Sans" w:hAnsi="DM Sans" w:cs="DM Sans"/>
          <w:b w:val="0"/>
          <w:i w:val="0"/>
          <w:color w:val="050C2A"/>
          <w:sz w:val="20"/>
          <w:u w:val="none"/>
        </w:rPr>
        <w:t xml:space="preserve"> Instructor-only. Not shared with the team.</w:t>
      </w:r>
    </w:p>
    <w:p>
      <w:pPr>
        <w:spacing w:before="0" w:after="120" w:line="276" w:lineRule="auto"/>
      </w:pPr>
      <w:r>
        <w:rPr>
          <w:rFonts w:ascii="DM Sans" w:hAnsi="DM Sans" w:cs="DM Sans"/>
          <w:b w:val="0"/>
          <w:i w:val="0"/>
          <w:color w:val="050C2A"/>
          <w:sz w:val="20"/>
          <w:u w:val="none"/>
        </w:rPr>
        <w:t>Students process this feedback alongside their anonymized peer evaluation results. The Team Processing Session produces a written agreement covering both what teammates said and what the employer said — creating a unified action plan for behavioral change.</w:t>
      </w:r>
    </w:p>
    <w:p>
      <w:pPr>
        <w:spacing w:before="0" w:after="120" w:line="276" w:lineRule="auto"/>
      </w:pPr>
      <w:r>
        <w:rPr>
          <w:rFonts w:ascii="DM Sans" w:hAnsi="DM Sans" w:cs="DM Sans"/>
          <w:b w:val="0"/>
          <w:i w:val="0"/>
          <w:color w:val="050C2A"/>
          <w:sz w:val="20"/>
          <w:u w:val="none"/>
        </w:rPr>
        <w:t>This 360-degree feedback convergence — peers + employer in the same session — is one of the most powerful learning moments in the course. Students see how their internal team dynamics (peer eval) connect to their external professional image (employer eval). A team that rates each other highly on Collaboration but gets a 2 from the employer on Responsiveness has a specific, actionable gap to address.</w:t>
      </w:r>
    </w:p>
    <w:p>
      <w:pPr>
        <w:spacing w:before="240" w:after="80"/>
      </w:pPr>
      <w:r>
        <w:rPr>
          <w:rFonts w:ascii="DM Sans" w:hAnsi="DM Sans" w:cs="DM Sans"/>
          <w:b/>
          <w:i w:val="0"/>
          <w:color w:val="050C2A"/>
          <w:sz w:val="24"/>
          <w:u w:val="none"/>
        </w:rPr>
        <w:t>End-of-Project (Week 15)</w:t>
      </w:r>
    </w:p>
    <w:p>
      <w:pPr>
        <w:spacing w:before="0" w:after="120" w:line="276" w:lineRule="auto"/>
      </w:pPr>
      <w:r>
        <w:rPr>
          <w:rFonts w:ascii="DM Sans" w:hAnsi="DM Sans" w:cs="DM Sans"/>
          <w:b w:val="0"/>
          <w:i w:val="0"/>
          <w:color w:val="050C2A"/>
          <w:sz w:val="20"/>
          <w:u w:val="none"/>
        </w:rPr>
        <w:t>Results sharing for the end-of-project survey is an institutional choice. Options include: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Share BARS ratings only</w:t>
      </w:r>
      <w:r>
        <w:rPr>
          <w:rFonts w:ascii="DM Sans" w:hAnsi="DM Sans" w:cs="DM Sans"/>
          <w:b w:val="0"/>
          <w:i w:val="0"/>
          <w:color w:val="050C2A"/>
          <w:sz w:val="20"/>
          <w:u w:val="none"/>
        </w:rPr>
        <w:t xml:space="preserve"> — students see how the employer assessed their Communication, Preparedness, and Responsiveness across the full project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Share BARS + Deliverable Quality + Partnership Quality</w:t>
      </w:r>
      <w:r>
        <w:rPr>
          <w:rFonts w:ascii="DM Sans" w:hAnsi="DM Sans" w:cs="DM Sans"/>
          <w:b w:val="0"/>
          <w:i w:val="0"/>
          <w:color w:val="050C2A"/>
          <w:sz w:val="20"/>
          <w:u w:val="none"/>
        </w:rPr>
        <w:t xml:space="preserve"> — students see the full picture including the employer's assessment of their final work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Instructor-only</w:t>
      </w:r>
      <w:r>
        <w:rPr>
          <w:rFonts w:ascii="DM Sans" w:hAnsi="DM Sans" w:cs="DM Sans"/>
          <w:b w:val="0"/>
          <w:i w:val="0"/>
          <w:color w:val="050C2A"/>
          <w:sz w:val="20"/>
          <w:u w:val="none"/>
        </w:rPr>
        <w:t xml:space="preserve"> — all results contribute to the Professional Engagement score but are not shared directly with students</w:t>
      </w:r>
    </w:p>
    <w:p>
      <w:pPr>
        <w:spacing w:before="0" w:after="120" w:line="276" w:lineRule="auto"/>
      </w:pPr>
      <w:r>
        <w:rPr>
          <w:rFonts w:ascii="DM Sans" w:hAnsi="DM Sans" w:cs="DM Sans"/>
          <w:b w:val="0"/>
          <w:i w:val="0"/>
          <w:color w:val="050C2A"/>
          <w:sz w:val="20"/>
          <w:u w:val="none"/>
        </w:rPr>
        <w:t>The recommendation is to share BARS ratings and the Partnership Quality response. This gives students meaningful closure on the professional relationship without exposing the employer's private comments (Item 6) or satisfaction signal (Item 7).</w:t>
      </w:r>
    </w:p>
    <w:p>
      <w:pPr>
        <w:spacing w:before="280" w:after="100"/>
      </w:pPr>
      <w:r>
        <w:rPr>
          <w:rFonts w:ascii="DM Sans" w:hAnsi="DM Sans" w:cs="DM Sans"/>
          <w:b/>
          <w:i w:val="0"/>
          <w:color w:val="050C2A"/>
          <w:sz w:val="28"/>
          <w:u w:val="none"/>
        </w:rPr>
        <w:t>Scoring Mechanics</w:t>
      </w:r>
    </w:p>
    <w:p>
      <w:pPr>
        <w:spacing w:before="240" w:after="80"/>
      </w:pPr>
      <w:r>
        <w:rPr>
          <w:rFonts w:ascii="DM Sans" w:hAnsi="DM Sans" w:cs="DM Sans"/>
          <w:b/>
          <w:i w:val="0"/>
          <w:color w:val="050C2A"/>
          <w:sz w:val="24"/>
          <w:u w:val="none"/>
        </w:rPr>
        <w:t>How Employer Feedback Scores Are Calculated</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Average across BARS dimensions:</w:t>
      </w:r>
      <w:r>
        <w:rPr>
          <w:rFonts w:ascii="DM Sans" w:hAnsi="DM Sans" w:cs="DM Sans"/>
          <w:b w:val="0"/>
          <w:i w:val="0"/>
          <w:color w:val="050C2A"/>
          <w:sz w:val="20"/>
          <w:u w:val="none"/>
        </w:rPr>
        <w:t xml:space="preserve"> The three shared dimensions (Communication, Preparedness, Responsiveness) are averaged into a single employer feedback score (1–4 scale) for each survey point. The Deliverable Quality dimension (end-of-project only) is used as instructor context, not averaged into the score — it assesses work product, not professionalism.</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Weight the two surveys:</w:t>
      </w:r>
      <w:r>
        <w:rPr>
          <w:rFonts w:ascii="DM Sans" w:hAnsi="DM Sans" w:cs="DM Sans"/>
          <w:b w:val="0"/>
          <w:i w:val="0"/>
          <w:color w:val="050C2A"/>
          <w:sz w:val="20"/>
          <w:u w:val="none"/>
        </w:rPr>
        <w:t xml:space="preserve"> Mid-project (Week 8) = 30%; End-of-project (Week 15) = 70%.</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Convert to percentage:</w:t>
      </w:r>
      <w:r>
        <w:rPr>
          <w:rFonts w:ascii="DM Sans" w:hAnsi="DM Sans" w:cs="DM Sans"/>
          <w:b w:val="0"/>
          <w:i w:val="0"/>
          <w:color w:val="050C2A"/>
          <w:sz w:val="20"/>
          <w:u w:val="none"/>
        </w:rPr>
        <w:t xml:space="preserve"> The combined score (1–4) maps to the same scale used for peer evaluation: 4 = 95%, 3 = 85%, 2 = 75%, 1 = 65%.</w:t>
      </w:r>
    </w:p>
    <w:p>
      <w:pPr>
        <w:spacing w:before="240" w:after="80"/>
      </w:pPr>
      <w:r>
        <w:rPr>
          <w:rFonts w:ascii="DM Sans" w:hAnsi="DM Sans" w:cs="DM Sans"/>
          <w:b/>
          <w:i w:val="0"/>
          <w:color w:val="050C2A"/>
          <w:sz w:val="24"/>
          <w:u w:val="none"/>
        </w:rPr>
        <w:t>From Team Score to Individual Score</w:t>
      </w:r>
    </w:p>
    <w:p>
      <w:pPr>
        <w:spacing w:before="0" w:after="120" w:line="276" w:lineRule="auto"/>
      </w:pPr>
      <w:r>
        <w:rPr>
          <w:rFonts w:ascii="DM Sans" w:hAnsi="DM Sans" w:cs="DM Sans"/>
          <w:b w:val="0"/>
          <w:i w:val="0"/>
          <w:color w:val="050C2A"/>
          <w:sz w:val="20"/>
          <w:u w:val="none"/>
        </w:rPr>
        <w:t>Because employer feedback is team-level, all team members receive the same base employer score. However, this score can be modulated by peer evaluation patterns: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peer evaluations show consistent contribution across team members, all receive the team's employer score.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If peer evaluations reveal significant disparities (e.g., one teammate rated 1 on Reliability by both peers while others are rated 3–4), the instructor may adjust individual employer scores up or down within a defined range. This adjustment is an instructor judgment call, not an automatic algorithm.</w:t>
      </w:r>
    </w:p>
    <w:p>
      <w:pPr>
        <w:spacing w:before="240" w:after="80"/>
      </w:pPr>
      <w:r>
        <w:rPr>
          <w:rFonts w:ascii="DM Sans" w:hAnsi="DM Sans" w:cs="DM Sans"/>
          <w:b/>
          <w:i w:val="0"/>
          <w:color w:val="050C2A"/>
          <w:sz w:val="24"/>
          <w:u w:val="none"/>
        </w:rPr>
        <w:t>Example</w:t>
      </w:r>
    </w:p>
    <w:p>
      <w:pPr>
        <w:spacing w:before="0" w:after="120" w:line="276" w:lineRule="auto"/>
      </w:pPr>
      <w:r>
        <w:rPr>
          <w:rFonts w:ascii="DM Sans" w:hAnsi="DM Sans" w:cs="DM Sans"/>
          <w:b w:val="0"/>
          <w:i w:val="0"/>
          <w:color w:val="050C2A"/>
          <w:sz w:val="20"/>
          <w:u w:val="none"/>
        </w:rPr>
        <w:t>The Maple &amp; Main team receives employer ratings of 3, 3, 4 (Communication, Preparedness, Responsiveness) at mid-project and 4, 4, 3 at end-of-project.</w:t>
      </w:r>
    </w:p>
    <w:p>
      <w:pPr>
        <w:spacing w:before="0" w:after="120" w:line="276" w:lineRule="auto"/>
      </w:pPr>
      <w:r>
        <w:rPr>
          <w:rFonts w:ascii="DM Sans" w:hAnsi="DM Sans" w:cs="DM Sans"/>
          <w:b w:val="0"/>
          <w:i w:val="0"/>
          <w:color w:val="050C2A"/>
          <w:sz w:val="20"/>
          <w:u w:val="none"/>
        </w:rPr>
        <w:t>Mid-project average: (3 + 3 + 4) / 3 = 3.33 End-of-project average: (4 + 4 + 3) / 3 = 3.67</w:t>
      </w:r>
    </w:p>
    <w:p>
      <w:pPr>
        <w:spacing w:before="0" w:after="120" w:line="276" w:lineRule="auto"/>
      </w:pPr>
      <w:r>
        <w:rPr>
          <w:rFonts w:ascii="DM Sans" w:hAnsi="DM Sans" w:cs="DM Sans"/>
          <w:b w:val="0"/>
          <w:i w:val="0"/>
          <w:color w:val="050C2A"/>
          <w:sz w:val="20"/>
          <w:u w:val="none"/>
        </w:rPr>
        <w:t>Combined: (3.33 × 0.30) + (3.67 × 0.70) = 1.00 + 2.57 = 3.57</w:t>
      </w:r>
    </w:p>
    <w:p>
      <w:pPr>
        <w:spacing w:before="0" w:after="120" w:line="276" w:lineRule="auto"/>
      </w:pPr>
      <w:r>
        <w:rPr>
          <w:rFonts w:ascii="DM Sans" w:hAnsi="DM Sans" w:cs="DM Sans"/>
          <w:b w:val="0"/>
          <w:i w:val="0"/>
          <w:color w:val="050C2A"/>
          <w:sz w:val="20"/>
          <w:u w:val="none"/>
        </w:rPr>
        <w:t>This converts to approximately 89%, which becomes the team's base employer feedback score. All three team members receive this score unless peer evaluation patterns indicate uneven contribution to the employer-facing interactions.</w:t>
      </w:r>
    </w:p>
    <w:p>
      <w:pPr>
        <w:spacing w:before="280" w:after="100"/>
      </w:pPr>
      <w:r>
        <w:rPr>
          <w:rFonts w:ascii="DM Sans" w:hAnsi="DM Sans" w:cs="DM Sans"/>
          <w:b/>
          <w:i w:val="0"/>
          <w:color w:val="050C2A"/>
          <w:sz w:val="28"/>
          <w:u w:val="none"/>
        </w:rPr>
        <w:t>Instructor Review Flags</w:t>
      </w:r>
    </w:p>
    <w:p>
      <w:pPr>
        <w:spacing w:before="0" w:after="120" w:line="276" w:lineRule="auto"/>
      </w:pPr>
      <w:r>
        <w:rPr>
          <w:rFonts w:ascii="DM Sans" w:hAnsi="DM Sans" w:cs="DM Sans"/>
          <w:b w:val="0"/>
          <w:i w:val="0"/>
          <w:color w:val="050C2A"/>
          <w:sz w:val="20"/>
          <w:u w:val="none"/>
        </w:rPr>
        <w:t>The following patterns trigger instructor attention: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Any BARS rating of 1 on any dimension at either survey point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Mid-project confidence signal ≤ 5</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End-of-project satisfaction signal ≤ 5</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Partnership Quality response of "Probably not" or "Definitely not"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Significant decline from mid-project to end-of-project on any dimension (drop of ≥ 2 points)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Any content in the qualitative "anything the instructor should know" response (end-of-project Item 6)</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Disconnect between BARS ratings and Deliverable Quality (e.g., high professionalism scores paired with low deliverable quality, or vice versa)</w:t>
      </w:r>
    </w:p>
    <w:p>
      <w:pPr>
        <w:spacing w:before="280" w:after="100"/>
      </w:pPr>
      <w:r>
        <w:rPr>
          <w:rFonts w:ascii="DM Sans" w:hAnsi="DM Sans" w:cs="DM Sans"/>
          <w:b/>
          <w:i w:val="0"/>
          <w:color w:val="050C2A"/>
          <w:sz w:val="28"/>
          <w:u w:val="none"/>
        </w:rPr>
        <w:t>Design Rationale: Why Three Dimensions</w:t>
      </w:r>
    </w:p>
    <w:p>
      <w:pPr>
        <w:spacing w:before="0" w:after="120" w:line="276" w:lineRule="auto"/>
      </w:pPr>
      <w:r>
        <w:rPr>
          <w:rFonts w:ascii="DM Sans" w:hAnsi="DM Sans" w:cs="DM Sans"/>
          <w:b w:val="0"/>
          <w:i w:val="0"/>
          <w:color w:val="050C2A"/>
          <w:sz w:val="20"/>
          <w:u w:val="none"/>
        </w:rPr>
        <w:t>The professional engagement mechanics document originally described four employer assessment areas: Communication quality, Responsiveness, Professionalism, and Overall partnership quality. The revised instrument consolidates these into three BARS dimensions (Communication, Preparedness, Responsiveness) plus a Partnership Quality summary question.</w:t>
      </w:r>
    </w:p>
    <w:p>
      <w:pPr>
        <w:spacing w:before="0" w:after="120" w:line="276" w:lineRule="auto"/>
      </w:pPr>
      <w:r>
        <w:rPr>
          <w:rFonts w:ascii="DM Sans" w:hAnsi="DM Sans" w:cs="DM Sans"/>
          <w:b w:val="0"/>
          <w:i w:val="0"/>
          <w:color w:val="050C2A"/>
          <w:sz w:val="20"/>
          <w:u w:val="none"/>
        </w:rPr>
        <w:t>The consolidation reflects two insights: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"Professionalism" was too vague as a standalone dimension.</w:t>
      </w:r>
      <w:r>
        <w:rPr>
          <w:rFonts w:ascii="DM Sans" w:hAnsi="DM Sans" w:cs="DM Sans"/>
          <w:b w:val="0"/>
          <w:i w:val="0"/>
          <w:color w:val="050C2A"/>
          <w:sz w:val="20"/>
          <w:u w:val="none"/>
        </w:rPr>
        <w:t xml:space="preserve"> When employers say a team was "professional," they typically mean the team was prepared, communicated well, and was responsive — which are the other three dimensions. A separate "Professionalism" BARS would either duplicate the other dimensions or become a catch-all for impressions that the structured questions didn't capture. The Partnership Quality question ("Would you work with this team again?") serves the catch-all function more effectively.</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Fewer dimensions = higher completion rates.</w:t>
      </w:r>
      <w:r>
        <w:rPr>
          <w:rFonts w:ascii="DM Sans" w:hAnsi="DM Sans" w:cs="DM Sans"/>
          <w:b w:val="0"/>
          <w:i w:val="0"/>
          <w:color w:val="050C2A"/>
          <w:sz w:val="20"/>
          <w:u w:val="none"/>
        </w:rPr>
        <w:t xml:space="preserve"> Every additional question increases the risk that employers abandon the survey or rush through it. Three BARS ratings + one open-ended question + one overall signal is the minimum viable instrument that produces useful data. Adding a fourth BARS dimension would marginally improve granularity at a disproportionate cost to completion quality.</w:t>
      </w:r>
    </w:p>
    <w:p>
      <w:pPr>
        <w:spacing w:before="280" w:after="100"/>
      </w:pPr>
      <w:r>
        <w:rPr>
          <w:rFonts w:ascii="DM Sans" w:hAnsi="DM Sans" w:cs="DM Sans"/>
          <w:b/>
          <w:i w:val="0"/>
          <w:color w:val="050C2A"/>
          <w:sz w:val="28"/>
          <w:u w:val="none"/>
        </w:rPr>
        <w:t>Related Documents</w:t>
      </w:r>
    </w:p>
    <w:p>
      <w:pPr>
        <w:spacing w:before="0" w:after="120" w:line="276" w:lineRule="auto"/>
      </w:pPr>
      <w:r>
        <w:rPr>
          <w:rFonts w:ascii="DM Sans" w:hAnsi="DM Sans" w:cs="DM Sans"/>
          <w:b/>
          <w:i w:val="0"/>
          <w:color w:val="050C2A"/>
          <w:sz w:val="20"/>
          <w:u w:val="none"/>
        </w:rPr>
        <w:t>Professional Engagement Mechanics:</w:t>
      </w:r>
      <w:r>
        <w:rPr>
          <w:rFonts w:ascii="DM Sans" w:hAnsi="DM Sans" w:cs="DM Sans"/>
          <w:b w:val="0"/>
          <w:i w:val="0"/>
          <w:color w:val="050C2A"/>
          <w:sz w:val="20"/>
          <w:u w:val="none"/>
        </w:rPr>
        <w:t xml:space="preserve"> Full scoring mechanics for the Professional Engagement component (20% of final grade), including how peer evaluation (50%), employer feedback (25%), and instructor observation (25%) combine.</w:t>
      </w:r>
    </w:p>
    <w:p>
      <w:pPr>
        <w:spacing w:before="0" w:after="120" w:line="276" w:lineRule="auto"/>
      </w:pPr>
      <w:r>
        <w:rPr>
          <w:rFonts w:ascii="DM Sans" w:hAnsi="DM Sans" w:cs="DM Sans"/>
          <w:b/>
          <w:i w:val="0"/>
          <w:color w:val="050C2A"/>
          <w:sz w:val="20"/>
          <w:u w:val="none"/>
        </w:rPr>
        <w:t>Peer Evaluation Framework:</w:t>
      </w:r>
      <w:r>
        <w:rPr>
          <w:rFonts w:ascii="DM Sans" w:hAnsi="DM Sans" w:cs="DM Sans"/>
          <w:b w:val="0"/>
          <w:i w:val="0"/>
          <w:color w:val="050C2A"/>
          <w:sz w:val="20"/>
          <w:u w:val="none"/>
        </w:rPr>
        <w:t xml:space="preserve"> Companion document specifying the peer evaluation instruments, BARS dimensions, and feedback sharing process.</w:t>
      </w:r>
    </w:p>
    <w:p>
      <w:pPr>
        <w:spacing w:before="0" w:after="120" w:line="276" w:lineRule="auto"/>
      </w:pP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Defines the Communication and Professionalism competencies and subskills that the employer evaluation assesses.</w:t>
      </w:r>
    </w:p>
    <w:p>
      <w:pPr>
        <w:spacing w:before="0" w:after="120" w:line="276" w:lineRule="auto"/>
      </w:pPr>
      <w:r>
        <w:rPr>
          <w:rFonts w:ascii="DM Sans" w:hAnsi="DM Sans" w:cs="DM Sans"/>
          <w:b/>
          <w:i w:val="0"/>
          <w:color w:val="050C2A"/>
          <w:sz w:val="20"/>
          <w:u w:val="none"/>
        </w:rPr>
        <w:t>Competency Alignment Map:</w:t>
      </w:r>
      <w:r>
        <w:rPr>
          <w:rFonts w:ascii="DM Sans" w:hAnsi="DM Sans" w:cs="DM Sans"/>
          <w:b w:val="0"/>
          <w:i w:val="0"/>
          <w:color w:val="050C2A"/>
          <w:sz w:val="20"/>
          <w:u w:val="none"/>
        </w:rPr>
        <w:t xml:space="preserve"> Shows where employer feedback fits in the full assessment coverage matrix.</w:t>
      </w:r>
    </w:p>
    <w:p>
      <w:pPr>
        <w:spacing w:before="0" w:after="120" w:line="276" w:lineRule="auto"/>
      </w:pPr>
      <w:r>
        <w:rPr>
          <w:rFonts w:ascii="DM Sans" w:hAnsi="DM Sans" w:cs="DM Sans"/>
          <w:b/>
          <w:i w:val="0"/>
          <w:color w:val="050C2A"/>
          <w:sz w:val="20"/>
          <w:u w:val="none"/>
        </w:rPr>
        <w:t>Employer Touchpoints:</w:t>
      </w:r>
      <w:r>
        <w:rPr>
          <w:rFonts w:ascii="DM Sans" w:hAnsi="DM Sans" w:cs="DM Sans"/>
          <w:b w:val="0"/>
          <w:i w:val="0"/>
          <w:color w:val="050C2A"/>
          <w:sz w:val="20"/>
          <w:u w:val="none"/>
        </w:rPr>
        <w:t xml:space="preserve"> Detailed specifications for each of the seven employer touchpoints, including the mid-project and end-of-project survey timing.</w:t>
      </w:r>
    </w:p>
    <w:p>
      <w:pPr>
        <w:spacing w:before="0" w:after="120" w:line="276" w:lineRule="auto"/>
      </w:pPr>
      <w:r>
        <w:rPr>
          <w:rFonts w:ascii="DM Sans" w:hAnsi="DM Sans" w:cs="DM Sans"/>
          <w:b/>
          <w:i w:val="0"/>
          <w:color w:val="050C2A"/>
          <w:sz w:val="20"/>
          <w:u w:val="none"/>
        </w:rPr>
        <w:t>Assessment Strategy:</w:t>
      </w:r>
      <w:r>
        <w:rPr>
          <w:rFonts w:ascii="DM Sans" w:hAnsi="DM Sans" w:cs="DM Sans"/>
          <w:b w:val="0"/>
          <w:i w:val="0"/>
          <w:color w:val="050C2A"/>
          <w:sz w:val="20"/>
          <w:u w:val="none"/>
        </w:rPr>
        <w:t xml:space="preserve"> Evidence architecture and grading weights for the full course.</w:t>
      </w:r>
    </w:p>
    <w:p>
      <w:pPr>
        <w:spacing w:before="0" w:after="120" w:line="276" w:lineRule="auto"/>
      </w:pPr>
      <w:r>
        <w:rPr>
          <w:rFonts w:ascii="DM Sans" w:hAnsi="DM Sans" w:cs="DM Sans"/>
          <w:b/>
          <w:i w:val="0"/>
          <w:color w:val="050C2A"/>
          <w:sz w:val="20"/>
          <w:u w:val="none"/>
        </w:rPr>
        <w:t>Week 8 Design Doc:</w:t>
      </w:r>
      <w:r>
        <w:rPr>
          <w:rFonts w:ascii="DM Sans" w:hAnsi="DM Sans" w:cs="DM Sans"/>
          <w:b w:val="0"/>
          <w:i w:val="0"/>
          <w:color w:val="050C2A"/>
          <w:sz w:val="20"/>
          <w:u w:val="none"/>
        </w:rPr>
        <w:t xml:space="preserve"> Activity breakdown for the week when the mid-project survey is administered.</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