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Peer Evaluation Framework</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Assessment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Overview</w:t>
      </w:r>
    </w:p>
    <w:p>
      <w:pPr>
        <w:spacing w:before="0" w:after="120" w:line="276" w:lineRule="auto"/>
      </w:pPr>
      <w:r>
        <w:rPr>
          <w:rFonts w:ascii="DM Sans" w:hAnsi="DM Sans" w:cs="DM Sans"/>
          <w:b w:val="0"/>
          <w:i w:val="0"/>
          <w:color w:val="050C2A"/>
          <w:sz w:val="20"/>
          <w:u w:val="none"/>
        </w:rPr>
        <w:t>Peer evaluation is the primary evidence source for Teamwork competency assessment and the largest single input into the Professional Engagement grade (50% of the 20% component). Students evaluate their teammates at two points: mid-project (Week 8) and end-of-project (Week 15). The two instruments are deliberately differentiated — the mid-project evaluation is formative, emphasizing qualitative feedback that enables course correction; the end-of-project evaluation is summative, emphasizing quantitative assessment for grade differentiation.</w:t>
      </w:r>
    </w:p>
    <w:p>
      <w:pPr>
        <w:spacing w:before="0" w:after="120" w:line="276" w:lineRule="auto"/>
      </w:pPr>
      <w:r>
        <w:rPr>
          <w:rFonts w:ascii="DM Sans" w:hAnsi="DM Sans" w:cs="DM Sans"/>
          <w:b w:val="0"/>
          <w:i w:val="0"/>
          <w:color w:val="050C2A"/>
          <w:sz w:val="20"/>
          <w:u w:val="none"/>
        </w:rPr>
        <w:t>This document specifies the evaluation instruments, process, competency alignment, scoring mechanics, and safeguards for both evaluation points. It serves as the design brief for building the evaluation forms and associated instructional content.</w:t>
      </w:r>
    </w:p>
    <w:p>
      <w:pPr>
        <w:spacing w:before="280" w:after="100"/>
      </w:pPr>
      <w:r>
        <w:rPr>
          <w:rFonts w:ascii="DM Sans" w:hAnsi="DM Sans" w:cs="DM Sans"/>
          <w:b/>
          <w:i w:val="0"/>
          <w:color w:val="050C2A"/>
          <w:sz w:val="28"/>
          <w:u w:val="none"/>
        </w:rPr>
        <w:t>Design Principles</w:t>
      </w:r>
    </w:p>
    <w:p>
      <w:pPr>
        <w:spacing w:before="0" w:after="120" w:line="276" w:lineRule="auto"/>
      </w:pPr>
      <w:r>
        <w:rPr>
          <w:rFonts w:ascii="DM Sans" w:hAnsi="DM Sans" w:cs="DM Sans"/>
          <w:b/>
          <w:i w:val="0"/>
          <w:color w:val="050C2A"/>
          <w:sz w:val="20"/>
          <w:u w:val="none"/>
        </w:rPr>
        <w:t>Differentiated instruments for differentiated purposes.</w:t>
      </w:r>
      <w:r>
        <w:rPr>
          <w:rFonts w:ascii="DM Sans" w:hAnsi="DM Sans" w:cs="DM Sans"/>
          <w:b w:val="0"/>
          <w:i w:val="0"/>
          <w:color w:val="050C2A"/>
          <w:sz w:val="20"/>
          <w:u w:val="none"/>
        </w:rPr>
        <w:t xml:space="preserve"> The literature on peer evaluation in higher education is clear: using the same quantitative instrument for both formative and summative evaluations undermines both functions. Attaching numbers to mid-project feedback risks destroying team trust before the project is complete; using qualitative-only feedback at end-of-project fails to create the data needed for fair grade differentiation. The two instruments share a common dimensional framework but differ in emphasis, format, and how results are used.</w:t>
      </w:r>
    </w:p>
    <w:p>
      <w:pPr>
        <w:spacing w:before="0" w:after="120" w:line="276" w:lineRule="auto"/>
      </w:pPr>
      <w:r>
        <w:rPr>
          <w:rFonts w:ascii="DM Sans" w:hAnsi="DM Sans" w:cs="DM Sans"/>
          <w:b/>
          <w:i w:val="0"/>
          <w:color w:val="050C2A"/>
          <w:sz w:val="20"/>
          <w:u w:val="none"/>
        </w:rPr>
        <w:t>Behaviorally Anchored Rating Scales (BARS) over Likert scales.</w:t>
      </w:r>
      <w:r>
        <w:rPr>
          <w:rFonts w:ascii="DM Sans" w:hAnsi="DM Sans" w:cs="DM Sans"/>
          <w:b w:val="0"/>
          <w:i w:val="0"/>
          <w:color w:val="050C2A"/>
          <w:sz w:val="20"/>
          <w:u w:val="none"/>
        </w:rPr>
        <w:t xml:space="preserve"> Simple 1–5 scales suffer from central tendency bias, ceiling effects, and subjectivity. BARS replace abstract numbers with concrete behavioral descriptions, reducing cognitive load on the evaluator and increasing inter-rater reliability. Evaluators match observed behavior to a description rather than assigning a subjective number.</w:t>
      </w:r>
    </w:p>
    <w:p>
      <w:pPr>
        <w:spacing w:before="0" w:after="120" w:line="276" w:lineRule="auto"/>
      </w:pPr>
      <w:r>
        <w:rPr>
          <w:rFonts w:ascii="DM Sans" w:hAnsi="DM Sans" w:cs="DM Sans"/>
          <w:b/>
          <w:i w:val="0"/>
          <w:color w:val="050C2A"/>
          <w:sz w:val="20"/>
          <w:u w:val="none"/>
        </w:rPr>
        <w:t>Evidence requirements for every rating.</w:t>
      </w:r>
      <w:r>
        <w:rPr>
          <w:rFonts w:ascii="DM Sans" w:hAnsi="DM Sans" w:cs="DM Sans"/>
          <w:b w:val="0"/>
          <w:i w:val="0"/>
          <w:color w:val="050C2A"/>
          <w:sz w:val="20"/>
          <w:u w:val="none"/>
        </w:rPr>
        <w:t xml:space="preserve"> Ratings without specific behavioral evidence are flagged for instructor review. This prevents drive-by evaluations and makes the process a learning activity in itself — students must internalize quality criteria deeply enough to cite specific examples.</w:t>
      </w:r>
    </w:p>
    <w:p>
      <w:pPr>
        <w:spacing w:before="0" w:after="120" w:line="276" w:lineRule="auto"/>
      </w:pPr>
      <w:r>
        <w:rPr>
          <w:rFonts w:ascii="DM Sans" w:hAnsi="DM Sans" w:cs="DM Sans"/>
          <w:b/>
          <w:i w:val="0"/>
          <w:color w:val="050C2A"/>
          <w:sz w:val="20"/>
          <w:u w:val="none"/>
        </w:rPr>
        <w:t>Competency-aligned dimensions.</w:t>
      </w:r>
      <w:r>
        <w:rPr>
          <w:rFonts w:ascii="DM Sans" w:hAnsi="DM Sans" w:cs="DM Sans"/>
          <w:b w:val="0"/>
          <w:i w:val="0"/>
          <w:color w:val="050C2A"/>
          <w:sz w:val="20"/>
          <w:u w:val="none"/>
        </w:rPr>
        <w:t xml:space="preserve"> The four evaluation dimensions map directly to the Teamwork subskills in the NACE competency framework, ensuring that the peer evaluation instrument measures what the course claims to develop.</w:t>
      </w:r>
    </w:p>
    <w:p>
      <w:pPr>
        <w:spacing w:before="0" w:after="120" w:line="276" w:lineRule="auto"/>
      </w:pPr>
      <w:r>
        <w:rPr>
          <w:rFonts w:ascii="DM Sans" w:hAnsi="DM Sans" w:cs="DM Sans"/>
          <w:b/>
          <w:i w:val="0"/>
          <w:color w:val="050C2A"/>
          <w:sz w:val="20"/>
          <w:u w:val="none"/>
        </w:rPr>
        <w:t>Closed feedback loops.</w:t>
      </w:r>
      <w:r>
        <w:rPr>
          <w:rFonts w:ascii="DM Sans" w:hAnsi="DM Sans" w:cs="DM Sans"/>
          <w:b w:val="0"/>
          <w:i w:val="0"/>
          <w:color w:val="050C2A"/>
          <w:sz w:val="20"/>
          <w:u w:val="none"/>
        </w:rPr>
        <w:t xml:space="preserve"> Collecting evaluation data without structured follow-through is pedagogically useless. The mid-project evaluation includes a mandatory Team Processing Session (Week 9) where teams discuss anonymized feedback and agree on specific behavioral changes.</w:t>
      </w:r>
    </w:p>
    <w:p>
      <w:pPr>
        <w:spacing w:before="280" w:after="100"/>
      </w:pPr>
      <w:r>
        <w:rPr>
          <w:rFonts w:ascii="DM Sans" w:hAnsi="DM Sans" w:cs="DM Sans"/>
          <w:b/>
          <w:i w:val="0"/>
          <w:color w:val="050C2A"/>
          <w:sz w:val="28"/>
          <w:u w:val="none"/>
        </w:rPr>
        <w:t>Competency Alignment</w:t>
      </w:r>
    </w:p>
    <w:p>
      <w:pPr>
        <w:spacing w:before="0" w:after="120" w:line="276" w:lineRule="auto"/>
      </w:pPr>
      <w:r>
        <w:rPr>
          <w:rFonts w:ascii="DM Sans" w:hAnsi="DM Sans" w:cs="DM Sans"/>
          <w:b w:val="0"/>
          <w:i w:val="0"/>
          <w:color w:val="050C2A"/>
          <w:sz w:val="20"/>
          <w:u w:val="none"/>
        </w:rPr>
        <w:t>The four peer evaluation dimensions map directly to the Teamwork competency subskills defined in the Riipen Experience competency framework:</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2146"/>
            <w:shd w:fill="FF7C0A" w:val="clear"/>
            <w:vAlign w:val="center"/>
          </w:tcPr>
          <w:p>
            <w:pPr>
              <w:jc w:val="left"/>
              <w:spacing w:before="40" w:after="40"/>
            </w:pPr>
            <w:r>
              <w:rPr>
                <w:rFonts w:ascii="DM Sans" w:hAnsi="DM Sans" w:cs="DM Sans"/>
                <w:b/>
                <w:i w:val="0"/>
                <w:color w:val="FFFFFF"/>
                <w:sz w:val="20"/>
                <w:u w:val="none"/>
              </w:rPr>
              <w:t>Evaluation Dimension</w:t>
            </w:r>
          </w:p>
        </w:tc>
        <w:tc>
          <w:tcPr>
            <w:tcW w:type="dxa" w:w="1600"/>
            <w:shd w:fill="FF7C0A" w:val="clear"/>
            <w:vAlign w:val="center"/>
          </w:tcPr>
          <w:p>
            <w:pPr>
              <w:jc w:val="left"/>
              <w:spacing w:before="40" w:after="40"/>
            </w:pPr>
            <w:r>
              <w:rPr>
                <w:rFonts w:ascii="DM Sans" w:hAnsi="DM Sans" w:cs="DM Sans"/>
                <w:b/>
                <w:i w:val="0"/>
                <w:color w:val="FFFFFF"/>
                <w:sz w:val="20"/>
                <w:u w:val="none"/>
              </w:rPr>
              <w:t>NACE Competency</w:t>
            </w:r>
          </w:p>
        </w:tc>
        <w:tc>
          <w:tcPr>
            <w:tcW w:type="dxa" w:w="2106"/>
            <w:shd w:fill="FF7C0A" w:val="clear"/>
            <w:vAlign w:val="center"/>
          </w:tcPr>
          <w:p>
            <w:pPr>
              <w:jc w:val="left"/>
              <w:spacing w:before="40" w:after="40"/>
            </w:pPr>
            <w:r>
              <w:rPr>
                <w:rFonts w:ascii="DM Sans" w:hAnsi="DM Sans" w:cs="DM Sans"/>
                <w:b/>
                <w:i w:val="0"/>
                <w:color w:val="FFFFFF"/>
                <w:sz w:val="20"/>
                <w:u w:val="none"/>
              </w:rPr>
              <w:t>Subskill</w:t>
            </w:r>
          </w:p>
        </w:tc>
        <w:tc>
          <w:tcPr>
            <w:tcW w:type="dxa" w:w="3508"/>
            <w:shd w:fill="FF7C0A" w:val="clear"/>
            <w:vAlign w:val="center"/>
          </w:tcPr>
          <w:p>
            <w:pPr>
              <w:jc w:val="left"/>
              <w:spacing w:before="40" w:after="40"/>
            </w:pPr>
            <w:r>
              <w:rPr>
                <w:rFonts w:ascii="DM Sans" w:hAnsi="DM Sans" w:cs="DM Sans"/>
                <w:b/>
                <w:i w:val="0"/>
                <w:color w:val="FFFFFF"/>
                <w:sz w:val="20"/>
                <w:u w:val="none"/>
              </w:rPr>
              <w:t>Framework Definition</w:t>
            </w:r>
          </w:p>
        </w:tc>
      </w:tr>
      <w:tr>
        <w:tc>
          <w:tcPr>
            <w:tcW w:type="dxa" w:w="2146"/>
            <w:vAlign w:val="center"/>
          </w:tcPr>
          <w:p>
            <w:pPr>
              <w:spacing w:before="30" w:after="30"/>
            </w:pPr>
            <w:r>
              <w:rPr>
                <w:rFonts w:ascii="DM Sans" w:hAnsi="DM Sans" w:cs="DM Sans"/>
                <w:b/>
                <w:i w:val="0"/>
                <w:color w:val="050C2A"/>
                <w:sz w:val="20"/>
                <w:u w:val="none"/>
              </w:rPr>
              <w:t>Reliability</w:t>
            </w:r>
          </w:p>
        </w:tc>
        <w:tc>
          <w:tcPr>
            <w:tcW w:type="dxa" w:w="1600"/>
            <w:vAlign w:val="center"/>
          </w:tcPr>
          <w:p>
            <w:pPr>
              <w:spacing w:before="30" w:after="30"/>
            </w:pPr>
            <w:r>
              <w:rPr>
                <w:rFonts w:ascii="DM Sans" w:hAnsi="DM Sans" w:cs="DM Sans"/>
                <w:b w:val="0"/>
                <w:i w:val="0"/>
                <w:color w:val="050C2A"/>
                <w:sz w:val="20"/>
                <w:u w:val="none"/>
              </w:rPr>
              <w:t>Teamwork</w:t>
            </w:r>
          </w:p>
        </w:tc>
        <w:tc>
          <w:tcPr>
            <w:tcW w:type="dxa" w:w="2106"/>
            <w:vAlign w:val="center"/>
          </w:tcPr>
          <w:p>
            <w:pPr>
              <w:spacing w:before="30" w:after="30"/>
            </w:pPr>
            <w:r>
              <w:rPr>
                <w:rFonts w:ascii="DM Sans" w:hAnsi="DM Sans" w:cs="DM Sans"/>
                <w:b w:val="0"/>
                <w:i w:val="0"/>
                <w:color w:val="050C2A"/>
                <w:sz w:val="20"/>
                <w:u w:val="none"/>
              </w:rPr>
              <w:t>Reliability</w:t>
            </w:r>
          </w:p>
        </w:tc>
        <w:tc>
          <w:tcPr>
            <w:tcW w:type="dxa" w:w="3508"/>
            <w:vAlign w:val="center"/>
          </w:tcPr>
          <w:p>
            <w:pPr>
              <w:spacing w:before="30" w:after="30"/>
            </w:pPr>
            <w:r>
              <w:rPr>
                <w:rFonts w:ascii="DM Sans" w:hAnsi="DM Sans" w:cs="DM Sans"/>
                <w:b w:val="0"/>
                <w:i w:val="0"/>
                <w:color w:val="050C2A"/>
                <w:sz w:val="20"/>
                <w:u w:val="none"/>
              </w:rPr>
              <w:t>Deliver on commitments to teammates; do what you said you would do</w:t>
            </w:r>
          </w:p>
        </w:tc>
      </w:tr>
      <w:tr>
        <w:tc>
          <w:tcPr>
            <w:tcW w:type="dxa" w:w="2146"/>
            <w:shd w:fill="F5F5F5" w:val="clear"/>
            <w:vAlign w:val="center"/>
          </w:tcPr>
          <w:p>
            <w:pPr>
              <w:spacing w:before="30" w:after="30"/>
            </w:pPr>
            <w:r>
              <w:rPr>
                <w:rFonts w:ascii="DM Sans" w:hAnsi="DM Sans" w:cs="DM Sans"/>
                <w:b/>
                <w:i w:val="0"/>
                <w:color w:val="050C2A"/>
                <w:sz w:val="20"/>
                <w:u w:val="none"/>
              </w:rPr>
              <w:t>Contribution</w:t>
            </w:r>
          </w:p>
        </w:tc>
        <w:tc>
          <w:tcPr>
            <w:tcW w:type="dxa" w:w="1600"/>
            <w:shd w:fill="F5F5F5" w:val="clear"/>
            <w:vAlign w:val="center"/>
          </w:tcPr>
          <w:p>
            <w:pPr>
              <w:spacing w:before="30" w:after="30"/>
            </w:pPr>
            <w:r>
              <w:rPr>
                <w:rFonts w:ascii="DM Sans" w:hAnsi="DM Sans" w:cs="DM Sans"/>
                <w:b w:val="0"/>
                <w:i w:val="0"/>
                <w:color w:val="050C2A"/>
                <w:sz w:val="20"/>
                <w:u w:val="none"/>
              </w:rPr>
              <w:t>Teamwork</w:t>
            </w:r>
          </w:p>
        </w:tc>
        <w:tc>
          <w:tcPr>
            <w:tcW w:type="dxa" w:w="2106"/>
            <w:shd w:fill="F5F5F5" w:val="clear"/>
            <w:vAlign w:val="center"/>
          </w:tcPr>
          <w:p>
            <w:pPr>
              <w:spacing w:before="30" w:after="30"/>
            </w:pPr>
            <w:r>
              <w:rPr>
                <w:rFonts w:ascii="DM Sans" w:hAnsi="DM Sans" w:cs="DM Sans"/>
                <w:b w:val="0"/>
                <w:i w:val="0"/>
                <w:color w:val="050C2A"/>
                <w:sz w:val="20"/>
                <w:u w:val="none"/>
              </w:rPr>
              <w:t>Collaborative Contribution</w:t>
            </w:r>
          </w:p>
        </w:tc>
        <w:tc>
          <w:tcPr>
            <w:tcW w:type="dxa" w:w="3508"/>
            <w:shd w:fill="F5F5F5" w:val="clear"/>
            <w:vAlign w:val="center"/>
          </w:tcPr>
          <w:p>
            <w:pPr>
              <w:spacing w:before="30" w:after="30"/>
            </w:pPr>
            <w:r>
              <w:rPr>
                <w:rFonts w:ascii="DM Sans" w:hAnsi="DM Sans" w:cs="DM Sans"/>
                <w:b w:val="0"/>
                <w:i w:val="0"/>
                <w:color w:val="050C2A"/>
                <w:sz w:val="20"/>
                <w:u w:val="none"/>
              </w:rPr>
              <w:t>Contribute fair share of work; step up when team needs support</w:t>
            </w:r>
          </w:p>
        </w:tc>
      </w:tr>
      <w:tr>
        <w:tc>
          <w:tcPr>
            <w:tcW w:type="dxa" w:w="2146"/>
            <w:vAlign w:val="center"/>
          </w:tcPr>
          <w:p>
            <w:pPr>
              <w:spacing w:before="30" w:after="30"/>
            </w:pPr>
            <w:r>
              <w:rPr>
                <w:rFonts w:ascii="DM Sans" w:hAnsi="DM Sans" w:cs="DM Sans"/>
                <w:b/>
                <w:i w:val="0"/>
                <w:color w:val="050C2A"/>
                <w:sz w:val="20"/>
                <w:u w:val="none"/>
              </w:rPr>
              <w:t>Constructive Engagement</w:t>
            </w:r>
          </w:p>
        </w:tc>
        <w:tc>
          <w:tcPr>
            <w:tcW w:type="dxa" w:w="1600"/>
            <w:vAlign w:val="center"/>
          </w:tcPr>
          <w:p>
            <w:pPr>
              <w:spacing w:before="30" w:after="30"/>
            </w:pPr>
            <w:r>
              <w:rPr>
                <w:rFonts w:ascii="DM Sans" w:hAnsi="DM Sans" w:cs="DM Sans"/>
                <w:b w:val="0"/>
                <w:i w:val="0"/>
                <w:color w:val="050C2A"/>
                <w:sz w:val="20"/>
                <w:u w:val="none"/>
              </w:rPr>
              <w:t>Teamwork</w:t>
            </w:r>
          </w:p>
        </w:tc>
        <w:tc>
          <w:tcPr>
            <w:tcW w:type="dxa" w:w="2106"/>
            <w:vAlign w:val="center"/>
          </w:tcPr>
          <w:p>
            <w:pPr>
              <w:spacing w:before="30" w:after="30"/>
            </w:pPr>
            <w:r>
              <w:rPr>
                <w:rFonts w:ascii="DM Sans" w:hAnsi="DM Sans" w:cs="DM Sans"/>
                <w:b w:val="0"/>
                <w:i w:val="0"/>
                <w:color w:val="050C2A"/>
                <w:sz w:val="20"/>
                <w:u w:val="none"/>
              </w:rPr>
              <w:t>Constructive Feedback</w:t>
            </w:r>
          </w:p>
        </w:tc>
        <w:tc>
          <w:tcPr>
            <w:tcW w:type="dxa" w:w="3508"/>
            <w:vAlign w:val="center"/>
          </w:tcPr>
          <w:p>
            <w:pPr>
              <w:spacing w:before="30" w:after="30"/>
            </w:pPr>
            <w:r>
              <w:rPr>
                <w:rFonts w:ascii="DM Sans" w:hAnsi="DM Sans" w:cs="DM Sans"/>
                <w:b w:val="0"/>
                <w:i w:val="0"/>
                <w:color w:val="050C2A"/>
                <w:sz w:val="20"/>
                <w:u w:val="none"/>
              </w:rPr>
              <w:t>Give specific, actionable feedback to peers focused on work, not person</w:t>
            </w:r>
          </w:p>
        </w:tc>
      </w:tr>
      <w:tr>
        <w:tc>
          <w:tcPr>
            <w:tcW w:type="dxa" w:w="2146"/>
            <w:shd w:fill="F5F5F5" w:val="clear"/>
            <w:vAlign w:val="center"/>
          </w:tcPr>
          <w:p>
            <w:pPr>
              <w:spacing w:before="30" w:after="30"/>
            </w:pPr>
            <w:r>
              <w:rPr>
                <w:rFonts w:ascii="DM Sans" w:hAnsi="DM Sans" w:cs="DM Sans"/>
                <w:b/>
                <w:i w:val="0"/>
                <w:color w:val="050C2A"/>
                <w:sz w:val="20"/>
                <w:u w:val="none"/>
              </w:rPr>
              <w:t>Accountability</w:t>
            </w:r>
          </w:p>
        </w:tc>
        <w:tc>
          <w:tcPr>
            <w:tcW w:type="dxa" w:w="1600"/>
            <w:shd w:fill="F5F5F5" w:val="clear"/>
            <w:vAlign w:val="center"/>
          </w:tcPr>
          <w:p>
            <w:pPr>
              <w:spacing w:before="30" w:after="30"/>
            </w:pPr>
            <w:r>
              <w:rPr>
                <w:rFonts w:ascii="DM Sans" w:hAnsi="DM Sans" w:cs="DM Sans"/>
                <w:b w:val="0"/>
                <w:i w:val="0"/>
                <w:color w:val="050C2A"/>
                <w:sz w:val="20"/>
                <w:u w:val="none"/>
              </w:rPr>
              <w:t>Teamwork</w:t>
            </w:r>
          </w:p>
        </w:tc>
        <w:tc>
          <w:tcPr>
            <w:tcW w:type="dxa" w:w="2106"/>
            <w:shd w:fill="F5F5F5" w:val="clear"/>
            <w:vAlign w:val="center"/>
          </w:tcPr>
          <w:p>
            <w:pPr>
              <w:spacing w:before="30" w:after="30"/>
            </w:pPr>
            <w:r>
              <w:rPr>
                <w:rFonts w:ascii="DM Sans" w:hAnsi="DM Sans" w:cs="DM Sans"/>
                <w:b w:val="0"/>
                <w:i w:val="0"/>
                <w:color w:val="050C2A"/>
                <w:sz w:val="20"/>
                <w:u w:val="none"/>
              </w:rPr>
              <w:t>Shared Accountability</w:t>
            </w:r>
          </w:p>
        </w:tc>
        <w:tc>
          <w:tcPr>
            <w:tcW w:type="dxa" w:w="3508"/>
            <w:shd w:fill="F5F5F5" w:val="clear"/>
            <w:vAlign w:val="center"/>
          </w:tcPr>
          <w:p>
            <w:pPr>
              <w:spacing w:before="30" w:after="30"/>
            </w:pPr>
            <w:r>
              <w:rPr>
                <w:rFonts w:ascii="DM Sans" w:hAnsi="DM Sans" w:cs="DM Sans"/>
                <w:b w:val="0"/>
                <w:i w:val="0"/>
                <w:color w:val="050C2A"/>
                <w:sz w:val="20"/>
                <w:u w:val="none"/>
              </w:rPr>
              <w:t>Take responsibility for team outcomes, not just individual contributions</w:t>
            </w:r>
          </w:p>
        </w:tc>
      </w:tr>
    </w:tbl>
    <w:p>
      <w:pPr>
        <w:spacing w:before="0" w:after="120"/>
      </w:pPr>
    </w:p>
    <w:p>
      <w:pPr>
        <w:spacing w:before="0" w:after="120" w:line="276" w:lineRule="auto"/>
      </w:pPr>
      <w:r>
        <w:rPr>
          <w:rFonts w:ascii="DM Sans" w:hAnsi="DM Sans" w:cs="DM Sans"/>
          <w:b w:val="0"/>
          <w:i w:val="0"/>
          <w:color w:val="050C2A"/>
          <w:sz w:val="20"/>
          <w:u w:val="none"/>
        </w:rPr>
        <w:t>Teamwork is assessed exclusively through Professional Engagement (peer evaluation). This is an intentional design decision — Teamwork subskills are not visible from written deliverables alone, and the peer evaluation is the appropriate evidence source. Teammates observe day-to-day contribution that no instructor or employer can see.</w:t>
      </w:r>
    </w:p>
    <w:p>
      <w:pPr>
        <w:spacing w:before="280" w:after="100"/>
      </w:pPr>
      <w:r>
        <w:rPr>
          <w:rFonts w:ascii="DM Sans" w:hAnsi="DM Sans" w:cs="DM Sans"/>
          <w:b/>
          <w:i w:val="0"/>
          <w:color w:val="050C2A"/>
          <w:sz w:val="28"/>
          <w:u w:val="none"/>
        </w:rPr>
        <w:t>Peer Evaluation #1 — Mid-Project Formative (Week 8)</w:t>
      </w:r>
    </w:p>
    <w:p>
      <w:pPr>
        <w:spacing w:before="240" w:after="80"/>
      </w:pPr>
      <w:r>
        <w:rPr>
          <w:rFonts w:ascii="DM Sans" w:hAnsi="DM Sans" w:cs="DM Sans"/>
          <w:b/>
          <w:i w:val="0"/>
          <w:color w:val="050C2A"/>
          <w:sz w:val="24"/>
          <w:u w:val="none"/>
        </w:rPr>
        <w:t>Purpose</w:t>
      </w:r>
    </w:p>
    <w:p>
      <w:pPr>
        <w:spacing w:before="0" w:after="120" w:line="276" w:lineRule="auto"/>
      </w:pPr>
      <w:r>
        <w:rPr>
          <w:rFonts w:ascii="DM Sans" w:hAnsi="DM Sans" w:cs="DM Sans"/>
          <w:b w:val="0"/>
          <w:i w:val="0"/>
          <w:color w:val="050C2A"/>
          <w:sz w:val="20"/>
          <w:u w:val="none"/>
        </w:rPr>
        <w:t>Diagnostic and corrective. The mid-project evaluation surfaces dysfunction, creates individual accountability, and gives students actionable feedback while there is still time to change behavior. It is not primarily a grading instrument — it is a development tool that also generates a formative grade signal.</w:t>
      </w:r>
    </w:p>
    <w:p>
      <w:pPr>
        <w:spacing w:before="240" w:after="80"/>
      </w:pPr>
      <w:r>
        <w:rPr>
          <w:rFonts w:ascii="DM Sans" w:hAnsi="DM Sans" w:cs="DM Sans"/>
          <w:b/>
          <w:i w:val="0"/>
          <w:color w:val="050C2A"/>
          <w:sz w:val="24"/>
          <w:u w:val="none"/>
        </w:rPr>
        <w:t>Timing</w:t>
      </w:r>
    </w:p>
    <w:p>
      <w:pPr>
        <w:spacing w:before="0" w:after="120" w:line="276" w:lineRule="auto"/>
      </w:pPr>
      <w:r>
        <w:rPr>
          <w:rFonts w:ascii="DM Sans" w:hAnsi="DM Sans" w:cs="DM Sans"/>
          <w:b w:val="0"/>
          <w:i w:val="0"/>
          <w:color w:val="050C2A"/>
          <w:sz w:val="20"/>
          <w:u w:val="none"/>
        </w:rPr>
        <w:t>Week 8, immediately following Progress Review #1 (Week 7). Students have completed the most substantive employer touchpoint to date and have been in active production for several weeks. There is enough shared experience to evaluate meaningfully, and enough time remaining (7 weeks) for behavioral correction to matter.</w:t>
      </w:r>
    </w:p>
    <w:p>
      <w:pPr>
        <w:spacing w:before="240" w:after="80"/>
      </w:pPr>
      <w:r>
        <w:rPr>
          <w:rFonts w:ascii="DM Sans" w:hAnsi="DM Sans" w:cs="DM Sans"/>
          <w:b/>
          <w:i w:val="0"/>
          <w:color w:val="050C2A"/>
          <w:sz w:val="24"/>
          <w:u w:val="none"/>
        </w:rPr>
        <w:t>Instrument Structure</w:t>
      </w:r>
    </w:p>
    <w:p>
      <w:pPr>
        <w:spacing w:before="0" w:after="120" w:line="276" w:lineRule="auto"/>
      </w:pPr>
      <w:r>
        <w:rPr>
          <w:rFonts w:ascii="DM Sans" w:hAnsi="DM Sans" w:cs="DM Sans"/>
          <w:b w:val="0"/>
          <w:i w:val="0"/>
          <w:color w:val="050C2A"/>
          <w:sz w:val="20"/>
          <w:u w:val="none"/>
        </w:rPr>
        <w:t>The evaluation has four parts. Students complete all parts individually for each teammate.</w:t>
      </w:r>
    </w:p>
    <w:p>
      <w:pPr>
        <w:spacing w:before="200" w:after="60"/>
      </w:pPr>
      <w:r>
        <w:rPr>
          <w:rFonts w:ascii="DM Sans" w:hAnsi="DM Sans" w:cs="DM Sans"/>
          <w:b/>
          <w:i w:val="0"/>
          <w:color w:val="050C2A"/>
          <w:sz w:val="22"/>
          <w:u w:val="none"/>
        </w:rPr>
        <w:t>Part A: Qualitative Feedback (per teammate)</w:t>
      </w:r>
    </w:p>
    <w:p>
      <w:pPr>
        <w:spacing w:before="0" w:after="120" w:line="276" w:lineRule="auto"/>
      </w:pPr>
      <w:r>
        <w:rPr>
          <w:rFonts w:ascii="DM Sans" w:hAnsi="DM Sans" w:cs="DM Sans"/>
          <w:b w:val="0"/>
          <w:i w:val="0"/>
          <w:color w:val="050C2A"/>
          <w:sz w:val="20"/>
          <w:u w:val="none"/>
        </w:rPr>
        <w:t>Three prompts, each requiring a specific, behavioral response:</w:t>
      </w:r>
    </w:p>
    <w:p>
      <w:pPr>
        <w:spacing w:before="0" w:after="120" w:line="276" w:lineRule="auto"/>
      </w:pPr>
      <w:r>
        <w:rPr>
          <w:rFonts w:ascii="DM Sans" w:hAnsi="DM Sans" w:cs="DM Sans"/>
          <w:b/>
          <w:i w:val="0"/>
          <w:color w:val="050C2A"/>
          <w:sz w:val="20"/>
          <w:u w:val="none"/>
        </w:rPr>
        <w:t>1. Continue</w:t>
      </w:r>
      <w:r>
        <w:rPr>
          <w:rFonts w:ascii="DM Sans" w:hAnsi="DM Sans" w:cs="DM Sans"/>
          <w:b w:val="0"/>
          <w:i w:val="0"/>
          <w:color w:val="050C2A"/>
          <w:sz w:val="20"/>
          <w:u w:val="none"/>
        </w:rPr>
        <w:t xml:space="preserve"> "What is the most valuable contribution this teammate makes to the team's work? Describe a specific example."</w:t>
      </w:r>
    </w:p>
    <w:p>
      <w:pPr>
        <w:spacing w:before="0" w:after="120" w:line="276" w:lineRule="auto"/>
      </w:pPr>
      <w:r>
        <w:rPr>
          <w:rFonts w:ascii="DM Sans" w:hAnsi="DM Sans" w:cs="DM Sans"/>
          <w:b w:val="0"/>
          <w:i w:val="0"/>
          <w:color w:val="050C2A"/>
          <w:sz w:val="20"/>
          <w:u w:val="none"/>
        </w:rPr>
        <w:t>This prompt reinforces positive behaviors and ensures that feedback is not exclusively corrective. It surfaces evidence of Collaborative Contribution and Reliability.</w:t>
      </w:r>
    </w:p>
    <w:p>
      <w:pPr>
        <w:spacing w:before="0" w:after="120" w:line="276" w:lineRule="auto"/>
      </w:pPr>
      <w:r>
        <w:rPr>
          <w:rFonts w:ascii="DM Sans" w:hAnsi="DM Sans" w:cs="DM Sans"/>
          <w:b/>
          <w:i w:val="0"/>
          <w:color w:val="050C2A"/>
          <w:sz w:val="20"/>
          <w:u w:val="none"/>
        </w:rPr>
        <w:t>2. Start</w:t>
      </w:r>
      <w:r>
        <w:rPr>
          <w:rFonts w:ascii="DM Sans" w:hAnsi="DM Sans" w:cs="DM Sans"/>
          <w:b w:val="0"/>
          <w:i w:val="0"/>
          <w:color w:val="050C2A"/>
          <w:sz w:val="20"/>
          <w:u w:val="none"/>
        </w:rPr>
        <w:t xml:space="preserve"> "What is one specific action this teammate is not currently doing that would help the team if they started?"</w:t>
      </w:r>
    </w:p>
    <w:p>
      <w:pPr>
        <w:spacing w:before="0" w:after="120" w:line="276" w:lineRule="auto"/>
      </w:pPr>
      <w:r>
        <w:rPr>
          <w:rFonts w:ascii="DM Sans" w:hAnsi="DM Sans" w:cs="DM Sans"/>
          <w:b w:val="0"/>
          <w:i w:val="0"/>
          <w:color w:val="050C2A"/>
          <w:sz w:val="20"/>
          <w:u w:val="none"/>
        </w:rPr>
        <w:t>This prompt identifies behavioral gaps without framing them as failures. It surfaces evidence of Initiative (which connects to Professionalism) and Shared Accountability gaps.</w:t>
      </w:r>
    </w:p>
    <w:p>
      <w:pPr>
        <w:spacing w:before="0" w:after="120" w:line="276" w:lineRule="auto"/>
      </w:pPr>
      <w:r>
        <w:rPr>
          <w:rFonts w:ascii="DM Sans" w:hAnsi="DM Sans" w:cs="DM Sans"/>
          <w:b/>
          <w:i w:val="0"/>
          <w:color w:val="050C2A"/>
          <w:sz w:val="20"/>
          <w:u w:val="none"/>
        </w:rPr>
        <w:t>3. Adjust</w:t>
      </w:r>
      <w:r>
        <w:rPr>
          <w:rFonts w:ascii="DM Sans" w:hAnsi="DM Sans" w:cs="DM Sans"/>
          <w:b w:val="0"/>
          <w:i w:val="0"/>
          <w:color w:val="050C2A"/>
          <w:sz w:val="20"/>
          <w:u w:val="none"/>
        </w:rPr>
        <w:t xml:space="preserve"> "What is one specific behavior this teammate could change to improve how the team works together?"</w:t>
      </w:r>
    </w:p>
    <w:p>
      <w:pPr>
        <w:spacing w:before="0" w:after="120" w:line="276" w:lineRule="auto"/>
      </w:pPr>
      <w:r>
        <w:rPr>
          <w:rFonts w:ascii="DM Sans" w:hAnsi="DM Sans" w:cs="DM Sans"/>
          <w:b w:val="0"/>
          <w:i w:val="0"/>
          <w:color w:val="050C2A"/>
          <w:sz w:val="20"/>
          <w:u w:val="none"/>
        </w:rPr>
        <w:t>This prompt is deliberately softer than "Stop" — framed as adjustment rather than cessation, which is more appropriate for a professional learning context. It surfaces evidence of communication patterns, Constructive Feedback capacity, and collaboration friction points.</w:t>
      </w:r>
    </w:p>
    <w:p>
      <w:pPr>
        <w:spacing w:before="0" w:after="120" w:line="276" w:lineRule="auto"/>
      </w:pPr>
      <w:r>
        <w:rPr>
          <w:rFonts w:ascii="DM Sans" w:hAnsi="DM Sans" w:cs="DM Sans"/>
          <w:b/>
          <w:i w:val="0"/>
          <w:color w:val="050C2A"/>
          <w:sz w:val="20"/>
          <w:u w:val="none"/>
        </w:rPr>
        <w:t>Minimum response length:</w:t>
      </w:r>
      <w:r>
        <w:rPr>
          <w:rFonts w:ascii="DM Sans" w:hAnsi="DM Sans" w:cs="DM Sans"/>
          <w:b w:val="0"/>
          <w:i w:val="0"/>
          <w:color w:val="050C2A"/>
          <w:sz w:val="20"/>
          <w:u w:val="none"/>
        </w:rPr>
        <w:t xml:space="preserve"> Each response must be at least two sentences. Responses shorter than this are flagged as insufficient.</w:t>
      </w:r>
    </w:p>
    <w:p>
      <w:pPr>
        <w:spacing w:before="200" w:after="60"/>
      </w:pPr>
      <w:r>
        <w:rPr>
          <w:rFonts w:ascii="DM Sans" w:hAnsi="DM Sans" w:cs="DM Sans"/>
          <w:b/>
          <w:i w:val="0"/>
          <w:color w:val="050C2A"/>
          <w:sz w:val="22"/>
          <w:u w:val="none"/>
        </w:rPr>
        <w:t>Part B: Quantitative Signal — BARS Ratings (per teammate)</w:t>
      </w:r>
    </w:p>
    <w:p>
      <w:pPr>
        <w:spacing w:before="0" w:after="120" w:line="276" w:lineRule="auto"/>
      </w:pPr>
      <w:r>
        <w:rPr>
          <w:rFonts w:ascii="DM Sans" w:hAnsi="DM Sans" w:cs="DM Sans"/>
          <w:b w:val="0"/>
          <w:i w:val="0"/>
          <w:color w:val="050C2A"/>
          <w:sz w:val="20"/>
          <w:u w:val="none"/>
        </w:rPr>
        <w:t>Four dimensions, each scored on a 1–4 scale using Behaviorally Anchored Rating Scales. The evaluator selects the descriptor that best matches their teammate's observed behavior. Each rating requires a 1–2 sentence specific behavioral example as evidence.</w:t>
      </w:r>
    </w:p>
    <w:p>
      <w:pPr>
        <w:spacing w:before="0" w:after="120" w:line="276" w:lineRule="auto"/>
      </w:pPr>
      <w:r>
        <w:rPr>
          <w:rFonts w:ascii="DM Sans" w:hAnsi="DM Sans" w:cs="DM Sans"/>
          <w:b/>
          <w:i w:val="0"/>
          <w:color w:val="050C2A"/>
          <w:sz w:val="20"/>
          <w:u w:val="none"/>
        </w:rPr>
        <w:t>Dimension 1: Reliability</w:t>
      </w:r>
      <w:r>
        <w:rPr>
          <w:rFonts w:ascii="DM Sans" w:hAnsi="DM Sans" w:cs="DM Sans"/>
          <w:b w:val="0"/>
          <w:i w:val="0"/>
          <w:color w:val="050C2A"/>
          <w:sz w:val="20"/>
          <w:u w:val="none"/>
        </w:rPr>
        <w:t xml:space="preserve"> </w:t>
      </w:r>
      <w:r>
        <w:rPr>
          <w:rFonts w:ascii="DM Sans" w:hAnsi="DM Sans" w:cs="DM Sans"/>
          <w:b w:val="0"/>
          <w:i/>
          <w:color w:val="050C2A"/>
          <w:sz w:val="20"/>
          <w:u w:val="none"/>
        </w:rPr>
        <w:t>Competency: Teamwork → Reliability</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40"/>
            <w:shd w:fill="FF7C0A" w:val="clear"/>
            <w:vAlign w:val="center"/>
          </w:tcPr>
          <w:p>
            <w:pPr>
              <w:jc w:val="left"/>
              <w:spacing w:before="40" w:after="40"/>
            </w:pPr>
            <w:r>
              <w:rPr>
                <w:rFonts w:ascii="DM Sans" w:hAnsi="DM Sans" w:cs="DM Sans"/>
                <w:b/>
                <w:i w:val="0"/>
                <w:color w:val="FFFFFF"/>
                <w:sz w:val="20"/>
                <w:u w:val="none"/>
              </w:rPr>
              <w:t>Rating</w:t>
            </w:r>
          </w:p>
        </w:tc>
        <w:tc>
          <w:tcPr>
            <w:tcW w:type="dxa" w:w="2207"/>
            <w:shd w:fill="FF7C0A" w:val="clear"/>
            <w:vAlign w:val="center"/>
          </w:tcPr>
          <w:p>
            <w:pPr>
              <w:jc w:val="left"/>
              <w:spacing w:before="40" w:after="40"/>
            </w:pPr>
            <w:r>
              <w:rPr>
                <w:rFonts w:ascii="DM Sans" w:hAnsi="DM Sans" w:cs="DM Sans"/>
                <w:b/>
                <w:i w:val="0"/>
                <w:color w:val="FFFFFF"/>
                <w:sz w:val="20"/>
                <w:u w:val="none"/>
              </w:rPr>
              <w:t>Descriptor</w:t>
            </w:r>
          </w:p>
        </w:tc>
        <w:tc>
          <w:tcPr>
            <w:tcW w:type="dxa" w:w="6113"/>
            <w:shd w:fill="FF7C0A" w:val="clear"/>
            <w:vAlign w:val="center"/>
          </w:tcPr>
          <w:p>
            <w:pPr>
              <w:jc w:val="left"/>
              <w:spacing w:before="40" w:after="40"/>
            </w:pPr>
            <w:r>
              <w:rPr>
                <w:rFonts w:ascii="DM Sans" w:hAnsi="DM Sans" w:cs="DM Sans"/>
                <w:b/>
                <w:i w:val="0"/>
                <w:color w:val="FFFFFF"/>
                <w:sz w:val="20"/>
                <w:u w:val="none"/>
              </w:rPr>
              <w:t>Behavioral Anchor</w:t>
            </w:r>
          </w:p>
        </w:tc>
      </w:tr>
      <w:tr>
        <w:tc>
          <w:tcPr>
            <w:tcW w:type="dxa" w:w="1040"/>
            <w:vAlign w:val="center"/>
          </w:tcPr>
          <w:p>
            <w:pPr>
              <w:spacing w:before="30" w:after="30"/>
            </w:pPr>
            <w:r>
              <w:rPr>
                <w:rFonts w:ascii="DM Sans" w:hAnsi="DM Sans" w:cs="DM Sans"/>
                <w:b/>
                <w:i w:val="0"/>
                <w:color w:val="050C2A"/>
                <w:sz w:val="20"/>
                <w:u w:val="none"/>
              </w:rPr>
              <w:t>4</w:t>
            </w:r>
          </w:p>
        </w:tc>
        <w:tc>
          <w:tcPr>
            <w:tcW w:type="dxa" w:w="2207"/>
            <w:vAlign w:val="center"/>
          </w:tcPr>
          <w:p>
            <w:pPr>
              <w:spacing w:before="30" w:after="30"/>
            </w:pPr>
            <w:r>
              <w:rPr>
                <w:rFonts w:ascii="DM Sans" w:hAnsi="DM Sans" w:cs="DM Sans"/>
                <w:b/>
                <w:i w:val="0"/>
                <w:color w:val="050C2A"/>
                <w:sz w:val="20"/>
                <w:u w:val="none"/>
              </w:rPr>
              <w:t>Consistently Dependable</w:t>
            </w:r>
          </w:p>
        </w:tc>
        <w:tc>
          <w:tcPr>
            <w:tcW w:type="dxa" w:w="6113"/>
            <w:vAlign w:val="center"/>
          </w:tcPr>
          <w:p>
            <w:pPr>
              <w:spacing w:before="30" w:after="30"/>
            </w:pPr>
            <w:r>
              <w:rPr>
                <w:rFonts w:ascii="DM Sans" w:hAnsi="DM Sans" w:cs="DM Sans"/>
                <w:b w:val="0"/>
                <w:i w:val="0"/>
                <w:color w:val="050C2A"/>
                <w:sz w:val="20"/>
                <w:u w:val="none"/>
              </w:rPr>
              <w:t>Delivers on every commitment on time or early. Shows up to meetings prepared. Notifies the team proactively if a timeline is at risk. Other team members trust this person to follow through without reminders.</w:t>
            </w:r>
          </w:p>
        </w:tc>
      </w:tr>
      <w:tr>
        <w:tc>
          <w:tcPr>
            <w:tcW w:type="dxa" w:w="1040"/>
            <w:shd w:fill="F5F5F5" w:val="clear"/>
            <w:vAlign w:val="center"/>
          </w:tcPr>
          <w:p>
            <w:pPr>
              <w:spacing w:before="30" w:after="30"/>
            </w:pPr>
            <w:r>
              <w:rPr>
                <w:rFonts w:ascii="DM Sans" w:hAnsi="DM Sans" w:cs="DM Sans"/>
                <w:b/>
                <w:i w:val="0"/>
                <w:color w:val="050C2A"/>
                <w:sz w:val="20"/>
                <w:u w:val="none"/>
              </w:rPr>
              <w:t>3</w:t>
            </w:r>
          </w:p>
        </w:tc>
        <w:tc>
          <w:tcPr>
            <w:tcW w:type="dxa" w:w="2207"/>
            <w:shd w:fill="F5F5F5" w:val="clear"/>
            <w:vAlign w:val="center"/>
          </w:tcPr>
          <w:p>
            <w:pPr>
              <w:spacing w:before="30" w:after="30"/>
            </w:pPr>
            <w:r>
              <w:rPr>
                <w:rFonts w:ascii="DM Sans" w:hAnsi="DM Sans" w:cs="DM Sans"/>
                <w:b/>
                <w:i w:val="0"/>
                <w:color w:val="050C2A"/>
                <w:sz w:val="20"/>
                <w:u w:val="none"/>
              </w:rPr>
              <w:t>Generally Reliable</w:t>
            </w:r>
          </w:p>
        </w:tc>
        <w:tc>
          <w:tcPr>
            <w:tcW w:type="dxa" w:w="6113"/>
            <w:shd w:fill="F5F5F5" w:val="clear"/>
            <w:vAlign w:val="center"/>
          </w:tcPr>
          <w:p>
            <w:pPr>
              <w:spacing w:before="30" w:after="30"/>
            </w:pPr>
            <w:r>
              <w:rPr>
                <w:rFonts w:ascii="DM Sans" w:hAnsi="DM Sans" w:cs="DM Sans"/>
                <w:b w:val="0"/>
                <w:i w:val="0"/>
                <w:color w:val="050C2A"/>
                <w:sz w:val="20"/>
                <w:u w:val="none"/>
              </w:rPr>
              <w:t>Meets most deadlines and shows up prepared for meetings. Occasionally needs a reminder but follows through when prompted. Has not caused the team to miss a milestone.</w:t>
            </w:r>
          </w:p>
        </w:tc>
      </w:tr>
      <w:tr>
        <w:tc>
          <w:tcPr>
            <w:tcW w:type="dxa" w:w="1040"/>
            <w:vAlign w:val="center"/>
          </w:tcPr>
          <w:p>
            <w:pPr>
              <w:spacing w:before="30" w:after="30"/>
            </w:pPr>
            <w:r>
              <w:rPr>
                <w:rFonts w:ascii="DM Sans" w:hAnsi="DM Sans" w:cs="DM Sans"/>
                <w:b/>
                <w:i w:val="0"/>
                <w:color w:val="050C2A"/>
                <w:sz w:val="20"/>
                <w:u w:val="none"/>
              </w:rPr>
              <w:t>2</w:t>
            </w:r>
          </w:p>
        </w:tc>
        <w:tc>
          <w:tcPr>
            <w:tcW w:type="dxa" w:w="2207"/>
            <w:vAlign w:val="center"/>
          </w:tcPr>
          <w:p>
            <w:pPr>
              <w:spacing w:before="30" w:after="30"/>
            </w:pPr>
            <w:r>
              <w:rPr>
                <w:rFonts w:ascii="DM Sans" w:hAnsi="DM Sans" w:cs="DM Sans"/>
                <w:b/>
                <w:i w:val="0"/>
                <w:color w:val="050C2A"/>
                <w:sz w:val="20"/>
                <w:u w:val="none"/>
              </w:rPr>
              <w:t>Inconsistently Reliable</w:t>
            </w:r>
          </w:p>
        </w:tc>
        <w:tc>
          <w:tcPr>
            <w:tcW w:type="dxa" w:w="6113"/>
            <w:vAlign w:val="center"/>
          </w:tcPr>
          <w:p>
            <w:pPr>
              <w:spacing w:before="30" w:after="30"/>
            </w:pPr>
            <w:r>
              <w:rPr>
                <w:rFonts w:ascii="DM Sans" w:hAnsi="DM Sans" w:cs="DM Sans"/>
                <w:b w:val="0"/>
                <w:i w:val="0"/>
                <w:color w:val="050C2A"/>
                <w:sz w:val="20"/>
                <w:u w:val="none"/>
              </w:rPr>
              <w:t>Missed a deadline or came to a meeting unprepared more than once. Required teammates to follow up or compensate. Has caused at least one delay or rework cycle for the team.</w:t>
            </w:r>
          </w:p>
        </w:tc>
      </w:tr>
      <w:tr>
        <w:tc>
          <w:tcPr>
            <w:tcW w:type="dxa" w:w="1040"/>
            <w:shd w:fill="F5F5F5" w:val="clear"/>
            <w:vAlign w:val="center"/>
          </w:tcPr>
          <w:p>
            <w:pPr>
              <w:spacing w:before="30" w:after="30"/>
            </w:pPr>
            <w:r>
              <w:rPr>
                <w:rFonts w:ascii="DM Sans" w:hAnsi="DM Sans" w:cs="DM Sans"/>
                <w:b/>
                <w:i w:val="0"/>
                <w:color w:val="050C2A"/>
                <w:sz w:val="20"/>
                <w:u w:val="none"/>
              </w:rPr>
              <w:t>1</w:t>
            </w:r>
          </w:p>
        </w:tc>
        <w:tc>
          <w:tcPr>
            <w:tcW w:type="dxa" w:w="2207"/>
            <w:shd w:fill="F5F5F5" w:val="clear"/>
            <w:vAlign w:val="center"/>
          </w:tcPr>
          <w:p>
            <w:pPr>
              <w:spacing w:before="30" w:after="30"/>
            </w:pPr>
            <w:r>
              <w:rPr>
                <w:rFonts w:ascii="DM Sans" w:hAnsi="DM Sans" w:cs="DM Sans"/>
                <w:b/>
                <w:i w:val="0"/>
                <w:color w:val="050C2A"/>
                <w:sz w:val="20"/>
                <w:u w:val="none"/>
              </w:rPr>
              <w:t>Unreliable</w:t>
            </w:r>
          </w:p>
        </w:tc>
        <w:tc>
          <w:tcPr>
            <w:tcW w:type="dxa" w:w="6113"/>
            <w:shd w:fill="F5F5F5" w:val="clear"/>
            <w:vAlign w:val="center"/>
          </w:tcPr>
          <w:p>
            <w:pPr>
              <w:spacing w:before="30" w:after="30"/>
            </w:pPr>
            <w:r>
              <w:rPr>
                <w:rFonts w:ascii="DM Sans" w:hAnsi="DM Sans" w:cs="DM Sans"/>
                <w:b w:val="0"/>
                <w:i w:val="0"/>
                <w:color w:val="050C2A"/>
                <w:sz w:val="20"/>
                <w:u w:val="none"/>
              </w:rPr>
              <w:t>Regularly misses commitments or fails to follow through. Team cannot count on this person to deliver what they agreed to. Other members have had to absorb their responsibilities.</w:t>
            </w:r>
          </w:p>
        </w:tc>
      </w:tr>
    </w:tbl>
    <w:p>
      <w:pPr>
        <w:spacing w:before="0" w:after="120"/>
      </w:pPr>
    </w:p>
    <w:p>
      <w:pPr>
        <w:spacing w:before="0" w:after="120" w:line="276" w:lineRule="auto"/>
      </w:pPr>
      <w:r>
        <w:rPr>
          <w:rFonts w:ascii="DM Sans" w:hAnsi="DM Sans" w:cs="DM Sans"/>
          <w:b/>
          <w:i w:val="0"/>
          <w:color w:val="050C2A"/>
          <w:sz w:val="20"/>
          <w:u w:val="none"/>
        </w:rPr>
        <w:t>Evidence required:</w:t>
      </w:r>
      <w:r>
        <w:rPr>
          <w:rFonts w:ascii="DM Sans" w:hAnsi="DM Sans" w:cs="DM Sans"/>
          <w:b w:val="0"/>
          <w:i w:val="0"/>
          <w:color w:val="050C2A"/>
          <w:sz w:val="20"/>
          <w:u w:val="none"/>
        </w:rPr>
        <w:t xml:space="preserve"> _"Provide a specific example of a commitment this teammate made and how they followed through (or didn't)."_</w:t>
      </w:r>
    </w:p>
    <w:p>
      <w:pPr>
        <w:spacing w:before="0" w:after="120" w:line="276" w:lineRule="auto"/>
      </w:pPr>
      <w:r>
        <w:rPr>
          <w:rFonts w:ascii="DM Sans" w:hAnsi="DM Sans" w:cs="DM Sans"/>
          <w:b/>
          <w:i w:val="0"/>
          <w:color w:val="050C2A"/>
          <w:sz w:val="20"/>
          <w:u w:val="none"/>
        </w:rPr>
        <w:t>Dimension 2: Contribution</w:t>
      </w:r>
      <w:r>
        <w:rPr>
          <w:rFonts w:ascii="DM Sans" w:hAnsi="DM Sans" w:cs="DM Sans"/>
          <w:b w:val="0"/>
          <w:i w:val="0"/>
          <w:color w:val="050C2A"/>
          <w:sz w:val="20"/>
          <w:u w:val="none"/>
        </w:rPr>
        <w:t xml:space="preserve"> </w:t>
      </w:r>
      <w:r>
        <w:rPr>
          <w:rFonts w:ascii="DM Sans" w:hAnsi="DM Sans" w:cs="DM Sans"/>
          <w:b w:val="0"/>
          <w:i/>
          <w:color w:val="050C2A"/>
          <w:sz w:val="20"/>
          <w:u w:val="none"/>
        </w:rPr>
        <w:t>Competency: Teamwork → Collaborative Contribution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06"/>
            <w:shd w:fill="FF7C0A" w:val="clear"/>
            <w:vAlign w:val="center"/>
          </w:tcPr>
          <w:p>
            <w:pPr>
              <w:jc w:val="left"/>
              <w:spacing w:before="40" w:after="40"/>
            </w:pPr>
            <w:r>
              <w:rPr>
                <w:rFonts w:ascii="DM Sans" w:hAnsi="DM Sans" w:cs="DM Sans"/>
                <w:b/>
                <w:i w:val="0"/>
                <w:color w:val="FFFFFF"/>
                <w:sz w:val="20"/>
                <w:u w:val="none"/>
              </w:rPr>
              <w:t>Rating</w:t>
            </w:r>
          </w:p>
        </w:tc>
        <w:tc>
          <w:tcPr>
            <w:tcW w:type="dxa" w:w="2135"/>
            <w:shd w:fill="FF7C0A" w:val="clear"/>
            <w:vAlign w:val="center"/>
          </w:tcPr>
          <w:p>
            <w:pPr>
              <w:jc w:val="left"/>
              <w:spacing w:before="40" w:after="40"/>
            </w:pPr>
            <w:r>
              <w:rPr>
                <w:rFonts w:ascii="DM Sans" w:hAnsi="DM Sans" w:cs="DM Sans"/>
                <w:b/>
                <w:i w:val="0"/>
                <w:color w:val="FFFFFF"/>
                <w:sz w:val="20"/>
                <w:u w:val="none"/>
              </w:rPr>
              <w:t>Descriptor</w:t>
            </w:r>
          </w:p>
        </w:tc>
        <w:tc>
          <w:tcPr>
            <w:tcW w:type="dxa" w:w="6219"/>
            <w:shd w:fill="FF7C0A" w:val="clear"/>
            <w:vAlign w:val="center"/>
          </w:tcPr>
          <w:p>
            <w:pPr>
              <w:jc w:val="left"/>
              <w:spacing w:before="40" w:after="40"/>
            </w:pPr>
            <w:r>
              <w:rPr>
                <w:rFonts w:ascii="DM Sans" w:hAnsi="DM Sans" w:cs="DM Sans"/>
                <w:b/>
                <w:i w:val="0"/>
                <w:color w:val="FFFFFF"/>
                <w:sz w:val="20"/>
                <w:u w:val="none"/>
              </w:rPr>
              <w:t>Behavioral Anchor</w:t>
            </w:r>
          </w:p>
        </w:tc>
      </w:tr>
      <w:tr>
        <w:tc>
          <w:tcPr>
            <w:tcW w:type="dxa" w:w="1006"/>
            <w:vAlign w:val="center"/>
          </w:tcPr>
          <w:p>
            <w:pPr>
              <w:spacing w:before="30" w:after="30"/>
            </w:pPr>
            <w:r>
              <w:rPr>
                <w:rFonts w:ascii="DM Sans" w:hAnsi="DM Sans" w:cs="DM Sans"/>
                <w:b/>
                <w:i w:val="0"/>
                <w:color w:val="050C2A"/>
                <w:sz w:val="20"/>
                <w:u w:val="none"/>
              </w:rPr>
              <w:t>4</w:t>
            </w:r>
          </w:p>
        </w:tc>
        <w:tc>
          <w:tcPr>
            <w:tcW w:type="dxa" w:w="2135"/>
            <w:vAlign w:val="center"/>
          </w:tcPr>
          <w:p>
            <w:pPr>
              <w:spacing w:before="30" w:after="30"/>
            </w:pPr>
            <w:r>
              <w:rPr>
                <w:rFonts w:ascii="DM Sans" w:hAnsi="DM Sans" w:cs="DM Sans"/>
                <w:b/>
                <w:i w:val="0"/>
                <w:color w:val="050C2A"/>
                <w:sz w:val="20"/>
                <w:u w:val="none"/>
              </w:rPr>
              <w:t>Drives the Work Forward</w:t>
            </w:r>
          </w:p>
        </w:tc>
        <w:tc>
          <w:tcPr>
            <w:tcW w:type="dxa" w:w="6219"/>
            <w:vAlign w:val="center"/>
          </w:tcPr>
          <w:p>
            <w:pPr>
              <w:spacing w:before="30" w:after="30"/>
            </w:pPr>
            <w:r>
              <w:rPr>
                <w:rFonts w:ascii="DM Sans" w:hAnsi="DM Sans" w:cs="DM Sans"/>
                <w:b w:val="0"/>
                <w:i w:val="0"/>
                <w:color w:val="050C2A"/>
                <w:sz w:val="20"/>
                <w:u w:val="none"/>
              </w:rPr>
              <w:t>Completes their fair share and actively looks for ways to contribute more. Volunteers for tasks when the team needs it. Work quality is strong enough that teammates rarely need to revise it. Brings ideas that improve the project.</w:t>
            </w:r>
          </w:p>
        </w:tc>
      </w:tr>
      <w:tr>
        <w:tc>
          <w:tcPr>
            <w:tcW w:type="dxa" w:w="1006"/>
            <w:shd w:fill="F5F5F5" w:val="clear"/>
            <w:vAlign w:val="center"/>
          </w:tcPr>
          <w:p>
            <w:pPr>
              <w:spacing w:before="30" w:after="30"/>
            </w:pPr>
            <w:r>
              <w:rPr>
                <w:rFonts w:ascii="DM Sans" w:hAnsi="DM Sans" w:cs="DM Sans"/>
                <w:b/>
                <w:i w:val="0"/>
                <w:color w:val="050C2A"/>
                <w:sz w:val="20"/>
                <w:u w:val="none"/>
              </w:rPr>
              <w:t>3</w:t>
            </w:r>
          </w:p>
        </w:tc>
        <w:tc>
          <w:tcPr>
            <w:tcW w:type="dxa" w:w="2135"/>
            <w:shd w:fill="F5F5F5" w:val="clear"/>
            <w:vAlign w:val="center"/>
          </w:tcPr>
          <w:p>
            <w:pPr>
              <w:spacing w:before="30" w:after="30"/>
            </w:pPr>
            <w:r>
              <w:rPr>
                <w:rFonts w:ascii="DM Sans" w:hAnsi="DM Sans" w:cs="DM Sans"/>
                <w:b/>
                <w:i w:val="0"/>
                <w:color w:val="050C2A"/>
                <w:sz w:val="20"/>
                <w:u w:val="none"/>
              </w:rPr>
              <w:t>Pulls Their Weight</w:t>
            </w:r>
          </w:p>
        </w:tc>
        <w:tc>
          <w:tcPr>
            <w:tcW w:type="dxa" w:w="6219"/>
            <w:shd w:fill="F5F5F5" w:val="clear"/>
            <w:vAlign w:val="center"/>
          </w:tcPr>
          <w:p>
            <w:pPr>
              <w:spacing w:before="30" w:after="30"/>
            </w:pPr>
            <w:r>
              <w:rPr>
                <w:rFonts w:ascii="DM Sans" w:hAnsi="DM Sans" w:cs="DM Sans"/>
                <w:b w:val="0"/>
                <w:i w:val="0"/>
                <w:color w:val="050C2A"/>
                <w:sz w:val="20"/>
                <w:u w:val="none"/>
              </w:rPr>
              <w:t>Completes assigned work to an acceptable standard. Does what is asked without needing excessive direction. Work may need some editing but does not require fundamental rework.</w:t>
            </w:r>
          </w:p>
        </w:tc>
      </w:tr>
      <w:tr>
        <w:tc>
          <w:tcPr>
            <w:tcW w:type="dxa" w:w="1006"/>
            <w:vAlign w:val="center"/>
          </w:tcPr>
          <w:p>
            <w:pPr>
              <w:spacing w:before="30" w:after="30"/>
            </w:pPr>
            <w:r>
              <w:rPr>
                <w:rFonts w:ascii="DM Sans" w:hAnsi="DM Sans" w:cs="DM Sans"/>
                <w:b/>
                <w:i w:val="0"/>
                <w:color w:val="050C2A"/>
                <w:sz w:val="20"/>
                <w:u w:val="none"/>
              </w:rPr>
              <w:t>2</w:t>
            </w:r>
          </w:p>
        </w:tc>
        <w:tc>
          <w:tcPr>
            <w:tcW w:type="dxa" w:w="2135"/>
            <w:vAlign w:val="center"/>
          </w:tcPr>
          <w:p>
            <w:pPr>
              <w:spacing w:before="30" w:after="30"/>
            </w:pPr>
            <w:r>
              <w:rPr>
                <w:rFonts w:ascii="DM Sans" w:hAnsi="DM Sans" w:cs="DM Sans"/>
                <w:b/>
                <w:i w:val="0"/>
                <w:color w:val="050C2A"/>
                <w:sz w:val="20"/>
                <w:u w:val="none"/>
              </w:rPr>
              <w:t>Under-Contributing</w:t>
            </w:r>
          </w:p>
        </w:tc>
        <w:tc>
          <w:tcPr>
            <w:tcW w:type="dxa" w:w="6219"/>
            <w:vAlign w:val="center"/>
          </w:tcPr>
          <w:p>
            <w:pPr>
              <w:spacing w:before="30" w:after="30"/>
            </w:pPr>
            <w:r>
              <w:rPr>
                <w:rFonts w:ascii="DM Sans" w:hAnsi="DM Sans" w:cs="DM Sans"/>
                <w:b w:val="0"/>
                <w:i w:val="0"/>
                <w:color w:val="050C2A"/>
                <w:sz w:val="20"/>
                <w:u w:val="none"/>
              </w:rPr>
              <w:t>Needed reminders to complete assigned work or produced work that required significant revision by teammates. Did not volunteer for additional tasks even when the team was stretched.</w:t>
            </w:r>
          </w:p>
        </w:tc>
      </w:tr>
      <w:tr>
        <w:tc>
          <w:tcPr>
            <w:tcW w:type="dxa" w:w="1006"/>
            <w:shd w:fill="F5F5F5" w:val="clear"/>
            <w:vAlign w:val="center"/>
          </w:tcPr>
          <w:p>
            <w:pPr>
              <w:spacing w:before="30" w:after="30"/>
            </w:pPr>
            <w:r>
              <w:rPr>
                <w:rFonts w:ascii="DM Sans" w:hAnsi="DM Sans" w:cs="DM Sans"/>
                <w:b/>
                <w:i w:val="0"/>
                <w:color w:val="050C2A"/>
                <w:sz w:val="20"/>
                <w:u w:val="none"/>
              </w:rPr>
              <w:t>1</w:t>
            </w:r>
          </w:p>
        </w:tc>
        <w:tc>
          <w:tcPr>
            <w:tcW w:type="dxa" w:w="2135"/>
            <w:shd w:fill="F5F5F5" w:val="clear"/>
            <w:vAlign w:val="center"/>
          </w:tcPr>
          <w:p>
            <w:pPr>
              <w:spacing w:before="30" w:after="30"/>
            </w:pPr>
            <w:r>
              <w:rPr>
                <w:rFonts w:ascii="DM Sans" w:hAnsi="DM Sans" w:cs="DM Sans"/>
                <w:b/>
                <w:i w:val="0"/>
                <w:color w:val="050C2A"/>
                <w:sz w:val="20"/>
                <w:u w:val="none"/>
              </w:rPr>
              <w:t>Not Contributing</w:t>
            </w:r>
          </w:p>
        </w:tc>
        <w:tc>
          <w:tcPr>
            <w:tcW w:type="dxa" w:w="6219"/>
            <w:shd w:fill="F5F5F5" w:val="clear"/>
            <w:vAlign w:val="center"/>
          </w:tcPr>
          <w:p>
            <w:pPr>
              <w:spacing w:before="30" w:after="30"/>
            </w:pPr>
            <w:r>
              <w:rPr>
                <w:rFonts w:ascii="DM Sans" w:hAnsi="DM Sans" w:cs="DM Sans"/>
                <w:b w:val="0"/>
                <w:i w:val="0"/>
                <w:color w:val="050C2A"/>
                <w:sz w:val="20"/>
                <w:u w:val="none"/>
              </w:rPr>
              <w:t>Did not complete assigned work or relied on others to cover their responsibilities. Work product, if submitted, was unusable without being essentially redone by a teammate.</w:t>
            </w:r>
          </w:p>
        </w:tc>
      </w:tr>
    </w:tbl>
    <w:p>
      <w:pPr>
        <w:spacing w:before="0" w:after="120"/>
      </w:pPr>
    </w:p>
    <w:p>
      <w:pPr>
        <w:spacing w:before="0" w:after="120" w:line="276" w:lineRule="auto"/>
      </w:pPr>
      <w:r>
        <w:rPr>
          <w:rFonts w:ascii="DM Sans" w:hAnsi="DM Sans" w:cs="DM Sans"/>
          <w:b/>
          <w:i w:val="0"/>
          <w:color w:val="050C2A"/>
          <w:sz w:val="20"/>
          <w:u w:val="none"/>
        </w:rPr>
        <w:t>Evidence required:</w:t>
      </w:r>
      <w:r>
        <w:rPr>
          <w:rFonts w:ascii="DM Sans" w:hAnsi="DM Sans" w:cs="DM Sans"/>
          <w:b w:val="0"/>
          <w:i w:val="0"/>
          <w:color w:val="050C2A"/>
          <w:sz w:val="20"/>
          <w:u w:val="none"/>
        </w:rPr>
        <w:t xml:space="preserve"> _"Describe a specific piece of work this teammate produced or a specific way they contributed (or failed to contribute) to the team's progress."_</w:t>
      </w:r>
    </w:p>
    <w:p>
      <w:pPr>
        <w:spacing w:before="0" w:after="120" w:line="276" w:lineRule="auto"/>
      </w:pPr>
      <w:r>
        <w:rPr>
          <w:rFonts w:ascii="DM Sans" w:hAnsi="DM Sans" w:cs="DM Sans"/>
          <w:b/>
          <w:i w:val="0"/>
          <w:color w:val="050C2A"/>
          <w:sz w:val="20"/>
          <w:u w:val="none"/>
        </w:rPr>
        <w:t>Dimension 3: Constructive Engagement</w:t>
      </w:r>
      <w:r>
        <w:rPr>
          <w:rFonts w:ascii="DM Sans" w:hAnsi="DM Sans" w:cs="DM Sans"/>
          <w:b w:val="0"/>
          <w:i w:val="0"/>
          <w:color w:val="050C2A"/>
          <w:sz w:val="20"/>
          <w:u w:val="none"/>
        </w:rPr>
        <w:t xml:space="preserve"> </w:t>
      </w:r>
      <w:r>
        <w:rPr>
          <w:rFonts w:ascii="DM Sans" w:hAnsi="DM Sans" w:cs="DM Sans"/>
          <w:b w:val="0"/>
          <w:i/>
          <w:color w:val="050C2A"/>
          <w:sz w:val="20"/>
          <w:u w:val="none"/>
        </w:rPr>
        <w:t>Competency: Teamwork → Constructive Feedback</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43"/>
            <w:shd w:fill="FF7C0A" w:val="clear"/>
            <w:vAlign w:val="center"/>
          </w:tcPr>
          <w:p>
            <w:pPr>
              <w:jc w:val="left"/>
              <w:spacing w:before="40" w:after="40"/>
            </w:pPr>
            <w:r>
              <w:rPr>
                <w:rFonts w:ascii="DM Sans" w:hAnsi="DM Sans" w:cs="DM Sans"/>
                <w:b/>
                <w:i w:val="0"/>
                <w:color w:val="FFFFFF"/>
                <w:sz w:val="20"/>
                <w:u w:val="none"/>
              </w:rPr>
              <w:t>Rating</w:t>
            </w:r>
          </w:p>
        </w:tc>
        <w:tc>
          <w:tcPr>
            <w:tcW w:type="dxa" w:w="2436"/>
            <w:shd w:fill="FF7C0A" w:val="clear"/>
            <w:vAlign w:val="center"/>
          </w:tcPr>
          <w:p>
            <w:pPr>
              <w:jc w:val="left"/>
              <w:spacing w:before="40" w:after="40"/>
            </w:pPr>
            <w:r>
              <w:rPr>
                <w:rFonts w:ascii="DM Sans" w:hAnsi="DM Sans" w:cs="DM Sans"/>
                <w:b/>
                <w:i w:val="0"/>
                <w:color w:val="FFFFFF"/>
                <w:sz w:val="20"/>
                <w:u w:val="none"/>
              </w:rPr>
              <w:t>Descriptor</w:t>
            </w:r>
          </w:p>
        </w:tc>
        <w:tc>
          <w:tcPr>
            <w:tcW w:type="dxa" w:w="5981"/>
            <w:shd w:fill="FF7C0A" w:val="clear"/>
            <w:vAlign w:val="center"/>
          </w:tcPr>
          <w:p>
            <w:pPr>
              <w:jc w:val="left"/>
              <w:spacing w:before="40" w:after="40"/>
            </w:pPr>
            <w:r>
              <w:rPr>
                <w:rFonts w:ascii="DM Sans" w:hAnsi="DM Sans" w:cs="DM Sans"/>
                <w:b/>
                <w:i w:val="0"/>
                <w:color w:val="FFFFFF"/>
                <w:sz w:val="20"/>
                <w:u w:val="none"/>
              </w:rPr>
              <w:t>Behavioral Anchor</w:t>
            </w:r>
          </w:p>
        </w:tc>
      </w:tr>
      <w:tr>
        <w:tc>
          <w:tcPr>
            <w:tcW w:type="dxa" w:w="943"/>
            <w:vAlign w:val="center"/>
          </w:tcPr>
          <w:p>
            <w:pPr>
              <w:spacing w:before="30" w:after="30"/>
            </w:pPr>
            <w:r>
              <w:rPr>
                <w:rFonts w:ascii="DM Sans" w:hAnsi="DM Sans" w:cs="DM Sans"/>
                <w:b/>
                <w:i w:val="0"/>
                <w:color w:val="050C2A"/>
                <w:sz w:val="20"/>
                <w:u w:val="none"/>
              </w:rPr>
              <w:t>4</w:t>
            </w:r>
          </w:p>
        </w:tc>
        <w:tc>
          <w:tcPr>
            <w:tcW w:type="dxa" w:w="2436"/>
            <w:vAlign w:val="center"/>
          </w:tcPr>
          <w:p>
            <w:pPr>
              <w:spacing w:before="30" w:after="30"/>
            </w:pPr>
            <w:r>
              <w:rPr>
                <w:rFonts w:ascii="DM Sans" w:hAnsi="DM Sans" w:cs="DM Sans"/>
                <w:b/>
                <w:i w:val="0"/>
                <w:color w:val="050C2A"/>
                <w:sz w:val="20"/>
                <w:u w:val="none"/>
              </w:rPr>
              <w:t>Actively Improves Team Communication</w:t>
            </w:r>
          </w:p>
        </w:tc>
        <w:tc>
          <w:tcPr>
            <w:tcW w:type="dxa" w:w="5981"/>
            <w:vAlign w:val="center"/>
          </w:tcPr>
          <w:p>
            <w:pPr>
              <w:spacing w:before="30" w:after="30"/>
            </w:pPr>
            <w:r>
              <w:rPr>
                <w:rFonts w:ascii="DM Sans" w:hAnsi="DM Sans" w:cs="DM Sans"/>
                <w:b w:val="0"/>
                <w:i w:val="0"/>
                <w:color w:val="050C2A"/>
                <w:sz w:val="20"/>
                <w:u w:val="none"/>
              </w:rPr>
              <w:t>Regularly offers specific, actionable input that makes the team's work better. Engages thoughtfully with others' ideas — builds on them, asks questions, identifies gaps. Navigates disagreements by focusing on the work rather than the person.</w:t>
            </w:r>
          </w:p>
        </w:tc>
      </w:tr>
      <w:tr>
        <w:tc>
          <w:tcPr>
            <w:tcW w:type="dxa" w:w="943"/>
            <w:shd w:fill="F5F5F5" w:val="clear"/>
            <w:vAlign w:val="center"/>
          </w:tcPr>
          <w:p>
            <w:pPr>
              <w:spacing w:before="30" w:after="30"/>
            </w:pPr>
            <w:r>
              <w:rPr>
                <w:rFonts w:ascii="DM Sans" w:hAnsi="DM Sans" w:cs="DM Sans"/>
                <w:b/>
                <w:i w:val="0"/>
                <w:color w:val="050C2A"/>
                <w:sz w:val="20"/>
                <w:u w:val="none"/>
              </w:rPr>
              <w:t>3</w:t>
            </w:r>
          </w:p>
        </w:tc>
        <w:tc>
          <w:tcPr>
            <w:tcW w:type="dxa" w:w="2436"/>
            <w:shd w:fill="F5F5F5" w:val="clear"/>
            <w:vAlign w:val="center"/>
          </w:tcPr>
          <w:p>
            <w:pPr>
              <w:spacing w:before="30" w:after="30"/>
            </w:pPr>
            <w:r>
              <w:rPr>
                <w:rFonts w:ascii="DM Sans" w:hAnsi="DM Sans" w:cs="DM Sans"/>
                <w:b/>
                <w:i w:val="0"/>
                <w:color w:val="050C2A"/>
                <w:sz w:val="20"/>
                <w:u w:val="none"/>
              </w:rPr>
              <w:t>Participates Constructively</w:t>
            </w:r>
          </w:p>
        </w:tc>
        <w:tc>
          <w:tcPr>
            <w:tcW w:type="dxa" w:w="5981"/>
            <w:shd w:fill="F5F5F5" w:val="clear"/>
            <w:vAlign w:val="center"/>
          </w:tcPr>
          <w:p>
            <w:pPr>
              <w:spacing w:before="30" w:after="30"/>
            </w:pPr>
            <w:r>
              <w:rPr>
                <w:rFonts w:ascii="DM Sans" w:hAnsi="DM Sans" w:cs="DM Sans"/>
                <w:b w:val="0"/>
                <w:i w:val="0"/>
                <w:color w:val="050C2A"/>
                <w:sz w:val="20"/>
                <w:u w:val="none"/>
              </w:rPr>
              <w:t>Participates in team discussions and responds to feedback from others. Shares their perspective when asked. Does not create communication friction. Accepts feedback without defensiveness.</w:t>
            </w:r>
          </w:p>
        </w:tc>
      </w:tr>
      <w:tr>
        <w:tc>
          <w:tcPr>
            <w:tcW w:type="dxa" w:w="943"/>
            <w:vAlign w:val="center"/>
          </w:tcPr>
          <w:p>
            <w:pPr>
              <w:spacing w:before="30" w:after="30"/>
            </w:pPr>
            <w:r>
              <w:rPr>
                <w:rFonts w:ascii="DM Sans" w:hAnsi="DM Sans" w:cs="DM Sans"/>
                <w:b/>
                <w:i w:val="0"/>
                <w:color w:val="050C2A"/>
                <w:sz w:val="20"/>
                <w:u w:val="none"/>
              </w:rPr>
              <w:t>2</w:t>
            </w:r>
          </w:p>
        </w:tc>
        <w:tc>
          <w:tcPr>
            <w:tcW w:type="dxa" w:w="2436"/>
            <w:vAlign w:val="center"/>
          </w:tcPr>
          <w:p>
            <w:pPr>
              <w:spacing w:before="30" w:after="30"/>
            </w:pPr>
            <w:r>
              <w:rPr>
                <w:rFonts w:ascii="DM Sans" w:hAnsi="DM Sans" w:cs="DM Sans"/>
                <w:b/>
                <w:i w:val="0"/>
                <w:color w:val="050C2A"/>
                <w:sz w:val="20"/>
                <w:u w:val="none"/>
              </w:rPr>
              <w:t>Minimally Engaged</w:t>
            </w:r>
          </w:p>
        </w:tc>
        <w:tc>
          <w:tcPr>
            <w:tcW w:type="dxa" w:w="5981"/>
            <w:vAlign w:val="center"/>
          </w:tcPr>
          <w:p>
            <w:pPr>
              <w:spacing w:before="30" w:after="30"/>
            </w:pPr>
            <w:r>
              <w:rPr>
                <w:rFonts w:ascii="DM Sans" w:hAnsi="DM Sans" w:cs="DM Sans"/>
                <w:b w:val="0"/>
                <w:i w:val="0"/>
                <w:color w:val="050C2A"/>
                <w:sz w:val="20"/>
                <w:u w:val="none"/>
              </w:rPr>
              <w:t>Participates only when directly prompted or gives feedback that is vague and unhelpful (e.g., "looks good" without specifics). Does not initiate discussion or build on others' ideas. May agree with everything to avoid conflict.</w:t>
            </w:r>
          </w:p>
        </w:tc>
      </w:tr>
      <w:tr>
        <w:tc>
          <w:tcPr>
            <w:tcW w:type="dxa" w:w="943"/>
            <w:shd w:fill="F5F5F5" w:val="clear"/>
            <w:vAlign w:val="center"/>
          </w:tcPr>
          <w:p>
            <w:pPr>
              <w:spacing w:before="30" w:after="30"/>
            </w:pPr>
            <w:r>
              <w:rPr>
                <w:rFonts w:ascii="DM Sans" w:hAnsi="DM Sans" w:cs="DM Sans"/>
                <w:b/>
                <w:i w:val="0"/>
                <w:color w:val="050C2A"/>
                <w:sz w:val="20"/>
                <w:u w:val="none"/>
              </w:rPr>
              <w:t>1</w:t>
            </w:r>
          </w:p>
        </w:tc>
        <w:tc>
          <w:tcPr>
            <w:tcW w:type="dxa" w:w="2436"/>
            <w:shd w:fill="F5F5F5" w:val="clear"/>
            <w:vAlign w:val="center"/>
          </w:tcPr>
          <w:p>
            <w:pPr>
              <w:spacing w:before="30" w:after="30"/>
            </w:pPr>
            <w:r>
              <w:rPr>
                <w:rFonts w:ascii="DM Sans" w:hAnsi="DM Sans" w:cs="DM Sans"/>
                <w:b/>
                <w:i w:val="0"/>
                <w:color w:val="050C2A"/>
                <w:sz w:val="20"/>
                <w:u w:val="none"/>
              </w:rPr>
              <w:t>Disengaged or Counterproductive</w:t>
            </w:r>
          </w:p>
        </w:tc>
        <w:tc>
          <w:tcPr>
            <w:tcW w:type="dxa" w:w="5981"/>
            <w:shd w:fill="F5F5F5" w:val="clear"/>
            <w:vAlign w:val="center"/>
          </w:tcPr>
          <w:p>
            <w:pPr>
              <w:spacing w:before="30" w:after="30"/>
            </w:pPr>
            <w:r>
              <w:rPr>
                <w:rFonts w:ascii="DM Sans" w:hAnsi="DM Sans" w:cs="DM Sans"/>
                <w:b w:val="0"/>
                <w:i w:val="0"/>
                <w:color w:val="050C2A"/>
                <w:sz w:val="20"/>
                <w:u w:val="none"/>
              </w:rPr>
              <w:t>Does not engage meaningfully in team discussions. May dominate without listening, dismiss others' contributions, or create an environment where teammates hesitate to share ideas.</w:t>
            </w:r>
          </w:p>
        </w:tc>
      </w:tr>
    </w:tbl>
    <w:p>
      <w:pPr>
        <w:spacing w:before="0" w:after="120"/>
      </w:pPr>
    </w:p>
    <w:p>
      <w:pPr>
        <w:spacing w:before="0" w:after="120" w:line="276" w:lineRule="auto"/>
      </w:pPr>
      <w:r>
        <w:rPr>
          <w:rFonts w:ascii="DM Sans" w:hAnsi="DM Sans" w:cs="DM Sans"/>
          <w:b/>
          <w:i w:val="0"/>
          <w:color w:val="050C2A"/>
          <w:sz w:val="20"/>
          <w:u w:val="none"/>
        </w:rPr>
        <w:t>Evidence required:</w:t>
      </w:r>
      <w:r>
        <w:rPr>
          <w:rFonts w:ascii="DM Sans" w:hAnsi="DM Sans" w:cs="DM Sans"/>
          <w:b w:val="0"/>
          <w:i w:val="0"/>
          <w:color w:val="050C2A"/>
          <w:sz w:val="20"/>
          <w:u w:val="none"/>
        </w:rPr>
        <w:t xml:space="preserve"> _"Describe a specific instance where this teammate's communication or feedback helped (or hindered) the team's work."_</w:t>
      </w:r>
    </w:p>
    <w:p>
      <w:pPr>
        <w:spacing w:before="0" w:after="120" w:line="276" w:lineRule="auto"/>
      </w:pPr>
      <w:r>
        <w:rPr>
          <w:rFonts w:ascii="DM Sans" w:hAnsi="DM Sans" w:cs="DM Sans"/>
          <w:b/>
          <w:i w:val="0"/>
          <w:color w:val="050C2A"/>
          <w:sz w:val="20"/>
          <w:u w:val="none"/>
        </w:rPr>
        <w:t>Dimension 4: Accountability</w:t>
      </w:r>
      <w:r>
        <w:rPr>
          <w:rFonts w:ascii="DM Sans" w:hAnsi="DM Sans" w:cs="DM Sans"/>
          <w:b w:val="0"/>
          <w:i w:val="0"/>
          <w:color w:val="050C2A"/>
          <w:sz w:val="20"/>
          <w:u w:val="none"/>
        </w:rPr>
        <w:t xml:space="preserve"> </w:t>
      </w:r>
      <w:r>
        <w:rPr>
          <w:rFonts w:ascii="DM Sans" w:hAnsi="DM Sans" w:cs="DM Sans"/>
          <w:b w:val="0"/>
          <w:i/>
          <w:color w:val="050C2A"/>
          <w:sz w:val="20"/>
          <w:u w:val="none"/>
        </w:rPr>
        <w:t>Competency: Teamwork → Shared Accountability</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46"/>
            <w:shd w:fill="FF7C0A" w:val="clear"/>
            <w:vAlign w:val="center"/>
          </w:tcPr>
          <w:p>
            <w:pPr>
              <w:jc w:val="left"/>
              <w:spacing w:before="40" w:after="40"/>
            </w:pPr>
            <w:r>
              <w:rPr>
                <w:rFonts w:ascii="DM Sans" w:hAnsi="DM Sans" w:cs="DM Sans"/>
                <w:b/>
                <w:i w:val="0"/>
                <w:color w:val="FFFFFF"/>
                <w:sz w:val="20"/>
                <w:u w:val="none"/>
              </w:rPr>
              <w:t>Rating</w:t>
            </w:r>
          </w:p>
        </w:tc>
        <w:tc>
          <w:tcPr>
            <w:tcW w:type="dxa" w:w="2219"/>
            <w:shd w:fill="FF7C0A" w:val="clear"/>
            <w:vAlign w:val="center"/>
          </w:tcPr>
          <w:p>
            <w:pPr>
              <w:jc w:val="left"/>
              <w:spacing w:before="40" w:after="40"/>
            </w:pPr>
            <w:r>
              <w:rPr>
                <w:rFonts w:ascii="DM Sans" w:hAnsi="DM Sans" w:cs="DM Sans"/>
                <w:b/>
                <w:i w:val="0"/>
                <w:color w:val="FFFFFF"/>
                <w:sz w:val="20"/>
                <w:u w:val="none"/>
              </w:rPr>
              <w:t>Descriptor</w:t>
            </w:r>
          </w:p>
        </w:tc>
        <w:tc>
          <w:tcPr>
            <w:tcW w:type="dxa" w:w="6195"/>
            <w:shd w:fill="FF7C0A" w:val="clear"/>
            <w:vAlign w:val="center"/>
          </w:tcPr>
          <w:p>
            <w:pPr>
              <w:jc w:val="left"/>
              <w:spacing w:before="40" w:after="40"/>
            </w:pPr>
            <w:r>
              <w:rPr>
                <w:rFonts w:ascii="DM Sans" w:hAnsi="DM Sans" w:cs="DM Sans"/>
                <w:b/>
                <w:i w:val="0"/>
                <w:color w:val="FFFFFF"/>
                <w:sz w:val="20"/>
                <w:u w:val="none"/>
              </w:rPr>
              <w:t>Behavioral Anchor</w:t>
            </w:r>
          </w:p>
        </w:tc>
      </w:tr>
      <w:tr>
        <w:tc>
          <w:tcPr>
            <w:tcW w:type="dxa" w:w="946"/>
            <w:vAlign w:val="center"/>
          </w:tcPr>
          <w:p>
            <w:pPr>
              <w:spacing w:before="30" w:after="30"/>
            </w:pPr>
            <w:r>
              <w:rPr>
                <w:rFonts w:ascii="DM Sans" w:hAnsi="DM Sans" w:cs="DM Sans"/>
                <w:b/>
                <w:i w:val="0"/>
                <w:color w:val="050C2A"/>
                <w:sz w:val="20"/>
                <w:u w:val="none"/>
              </w:rPr>
              <w:t>4</w:t>
            </w:r>
          </w:p>
        </w:tc>
        <w:tc>
          <w:tcPr>
            <w:tcW w:type="dxa" w:w="2219"/>
            <w:vAlign w:val="center"/>
          </w:tcPr>
          <w:p>
            <w:pPr>
              <w:spacing w:before="30" w:after="30"/>
            </w:pPr>
            <w:r>
              <w:rPr>
                <w:rFonts w:ascii="DM Sans" w:hAnsi="DM Sans" w:cs="DM Sans"/>
                <w:b/>
                <w:i w:val="0"/>
                <w:color w:val="050C2A"/>
                <w:sz w:val="20"/>
                <w:u w:val="none"/>
              </w:rPr>
              <w:t>Owns Team Outcomes</w:t>
            </w:r>
          </w:p>
        </w:tc>
        <w:tc>
          <w:tcPr>
            <w:tcW w:type="dxa" w:w="6195"/>
            <w:vAlign w:val="center"/>
          </w:tcPr>
          <w:p>
            <w:pPr>
              <w:spacing w:before="30" w:after="30"/>
            </w:pPr>
            <w:r>
              <w:rPr>
                <w:rFonts w:ascii="DM Sans" w:hAnsi="DM Sans" w:cs="DM Sans"/>
                <w:b w:val="0"/>
                <w:i w:val="0"/>
                <w:color w:val="050C2A"/>
                <w:sz w:val="20"/>
                <w:u w:val="none"/>
              </w:rPr>
              <w:t>Takes responsibility for the team's success, not just their individual section. Identifies problems proactively and mobilizes the team to address them. When something goes wrong, focuses on solutions rather than blame. Supports teammates who are struggling.</w:t>
            </w:r>
          </w:p>
        </w:tc>
      </w:tr>
      <w:tr>
        <w:tc>
          <w:tcPr>
            <w:tcW w:type="dxa" w:w="946"/>
            <w:shd w:fill="F5F5F5" w:val="clear"/>
            <w:vAlign w:val="center"/>
          </w:tcPr>
          <w:p>
            <w:pPr>
              <w:spacing w:before="30" w:after="30"/>
            </w:pPr>
            <w:r>
              <w:rPr>
                <w:rFonts w:ascii="DM Sans" w:hAnsi="DM Sans" w:cs="DM Sans"/>
                <w:b/>
                <w:i w:val="0"/>
                <w:color w:val="050C2A"/>
                <w:sz w:val="20"/>
                <w:u w:val="none"/>
              </w:rPr>
              <w:t>3</w:t>
            </w:r>
          </w:p>
        </w:tc>
        <w:tc>
          <w:tcPr>
            <w:tcW w:type="dxa" w:w="2219"/>
            <w:shd w:fill="F5F5F5" w:val="clear"/>
            <w:vAlign w:val="center"/>
          </w:tcPr>
          <w:p>
            <w:pPr>
              <w:spacing w:before="30" w:after="30"/>
            </w:pPr>
            <w:r>
              <w:rPr>
                <w:rFonts w:ascii="DM Sans" w:hAnsi="DM Sans" w:cs="DM Sans"/>
                <w:b/>
                <w:i w:val="0"/>
                <w:color w:val="050C2A"/>
                <w:sz w:val="20"/>
                <w:u w:val="none"/>
              </w:rPr>
              <w:t>Takes Personal Responsibility</w:t>
            </w:r>
          </w:p>
        </w:tc>
        <w:tc>
          <w:tcPr>
            <w:tcW w:type="dxa" w:w="6195"/>
            <w:shd w:fill="F5F5F5" w:val="clear"/>
            <w:vAlign w:val="center"/>
          </w:tcPr>
          <w:p>
            <w:pPr>
              <w:spacing w:before="30" w:after="30"/>
            </w:pPr>
            <w:r>
              <w:rPr>
                <w:rFonts w:ascii="DM Sans" w:hAnsi="DM Sans" w:cs="DM Sans"/>
                <w:b w:val="0"/>
                <w:i w:val="0"/>
                <w:color w:val="050C2A"/>
                <w:sz w:val="20"/>
                <w:u w:val="none"/>
              </w:rPr>
              <w:t>Takes responsibility for their own work and supports the team's goals. Acknowledges when they've made a mistake. Participates in problem-solving when issues arise.</w:t>
            </w:r>
          </w:p>
        </w:tc>
      </w:tr>
      <w:tr>
        <w:tc>
          <w:tcPr>
            <w:tcW w:type="dxa" w:w="946"/>
            <w:vAlign w:val="center"/>
          </w:tcPr>
          <w:p>
            <w:pPr>
              <w:spacing w:before="30" w:after="30"/>
            </w:pPr>
            <w:r>
              <w:rPr>
                <w:rFonts w:ascii="DM Sans" w:hAnsi="DM Sans" w:cs="DM Sans"/>
                <w:b/>
                <w:i w:val="0"/>
                <w:color w:val="050C2A"/>
                <w:sz w:val="20"/>
                <w:u w:val="none"/>
              </w:rPr>
              <w:t>2</w:t>
            </w:r>
          </w:p>
        </w:tc>
        <w:tc>
          <w:tcPr>
            <w:tcW w:type="dxa" w:w="2219"/>
            <w:vAlign w:val="center"/>
          </w:tcPr>
          <w:p>
            <w:pPr>
              <w:spacing w:before="30" w:after="30"/>
            </w:pPr>
            <w:r>
              <w:rPr>
                <w:rFonts w:ascii="DM Sans" w:hAnsi="DM Sans" w:cs="DM Sans"/>
                <w:b/>
                <w:i w:val="0"/>
                <w:color w:val="050C2A"/>
                <w:sz w:val="20"/>
                <w:u w:val="none"/>
              </w:rPr>
              <w:t>Deflects or Waits</w:t>
            </w:r>
          </w:p>
        </w:tc>
        <w:tc>
          <w:tcPr>
            <w:tcW w:type="dxa" w:w="6195"/>
            <w:vAlign w:val="center"/>
          </w:tcPr>
          <w:p>
            <w:pPr>
              <w:spacing w:before="30" w:after="30"/>
            </w:pPr>
            <w:r>
              <w:rPr>
                <w:rFonts w:ascii="DM Sans" w:hAnsi="DM Sans" w:cs="DM Sans"/>
                <w:b w:val="0"/>
                <w:i w:val="0"/>
                <w:color w:val="050C2A"/>
                <w:sz w:val="20"/>
                <w:u w:val="none"/>
              </w:rPr>
              <w:t>Tends to deflect responsibility when things go wrong or waits for others to address problems. May blame external factors (the employer, the timeline, the tools) rather than examining their own role.</w:t>
            </w:r>
          </w:p>
        </w:tc>
      </w:tr>
      <w:tr>
        <w:tc>
          <w:tcPr>
            <w:tcW w:type="dxa" w:w="946"/>
            <w:shd w:fill="F5F5F5" w:val="clear"/>
            <w:vAlign w:val="center"/>
          </w:tcPr>
          <w:p>
            <w:pPr>
              <w:spacing w:before="30" w:after="30"/>
            </w:pPr>
            <w:r>
              <w:rPr>
                <w:rFonts w:ascii="DM Sans" w:hAnsi="DM Sans" w:cs="DM Sans"/>
                <w:b/>
                <w:i w:val="0"/>
                <w:color w:val="050C2A"/>
                <w:sz w:val="20"/>
                <w:u w:val="none"/>
              </w:rPr>
              <w:t>1</w:t>
            </w:r>
          </w:p>
        </w:tc>
        <w:tc>
          <w:tcPr>
            <w:tcW w:type="dxa" w:w="2219"/>
            <w:shd w:fill="F5F5F5" w:val="clear"/>
            <w:vAlign w:val="center"/>
          </w:tcPr>
          <w:p>
            <w:pPr>
              <w:spacing w:before="30" w:after="30"/>
            </w:pPr>
            <w:r>
              <w:rPr>
                <w:rFonts w:ascii="DM Sans" w:hAnsi="DM Sans" w:cs="DM Sans"/>
                <w:b/>
                <w:i w:val="0"/>
                <w:color w:val="050C2A"/>
                <w:sz w:val="20"/>
                <w:u w:val="none"/>
              </w:rPr>
              <w:t>Avoids Responsibility</w:t>
            </w:r>
          </w:p>
        </w:tc>
        <w:tc>
          <w:tcPr>
            <w:tcW w:type="dxa" w:w="6195"/>
            <w:shd w:fill="F5F5F5" w:val="clear"/>
            <w:vAlign w:val="center"/>
          </w:tcPr>
          <w:p>
            <w:pPr>
              <w:spacing w:before="30" w:after="30"/>
            </w:pPr>
            <w:r>
              <w:rPr>
                <w:rFonts w:ascii="DM Sans" w:hAnsi="DM Sans" w:cs="DM Sans"/>
                <w:b w:val="0"/>
                <w:i w:val="0"/>
                <w:color w:val="050C2A"/>
                <w:sz w:val="20"/>
                <w:u w:val="none"/>
              </w:rPr>
              <w:t>Does not take responsibility for outcomes. Blames teammates or external factors. Does not participate in addressing team challenges. May actively undermine team cohesion through gossip, complaints, or disengagement.</w:t>
            </w:r>
          </w:p>
        </w:tc>
      </w:tr>
    </w:tbl>
    <w:p>
      <w:pPr>
        <w:spacing w:before="0" w:after="120"/>
      </w:pPr>
    </w:p>
    <w:p>
      <w:pPr>
        <w:spacing w:before="0" w:after="120" w:line="276" w:lineRule="auto"/>
      </w:pPr>
      <w:r>
        <w:rPr>
          <w:rFonts w:ascii="DM Sans" w:hAnsi="DM Sans" w:cs="DM Sans"/>
          <w:b/>
          <w:i w:val="0"/>
          <w:color w:val="050C2A"/>
          <w:sz w:val="20"/>
          <w:u w:val="none"/>
        </w:rPr>
        <w:t>Evidence required:</w:t>
      </w:r>
      <w:r>
        <w:rPr>
          <w:rFonts w:ascii="DM Sans" w:hAnsi="DM Sans" w:cs="DM Sans"/>
          <w:b w:val="0"/>
          <w:i w:val="0"/>
          <w:color w:val="050C2A"/>
          <w:sz w:val="20"/>
          <w:u w:val="none"/>
        </w:rPr>
        <w:t xml:space="preserve"> _"Describe a specific situation where this teammate took responsibility for a team outcome (or failed to do so)."_</w:t>
      </w:r>
    </w:p>
    <w:p>
      <w:pPr>
        <w:spacing w:before="200" w:after="60"/>
      </w:pPr>
      <w:r>
        <w:rPr>
          <w:rFonts w:ascii="DM Sans" w:hAnsi="DM Sans" w:cs="DM Sans"/>
          <w:b/>
          <w:i w:val="0"/>
          <w:color w:val="050C2A"/>
          <w:sz w:val="22"/>
          <w:u w:val="none"/>
        </w:rPr>
        <w:t>Part C: Self-Evaluation</w:t>
      </w:r>
    </w:p>
    <w:p>
      <w:pPr>
        <w:spacing w:before="0" w:after="120" w:line="276" w:lineRule="auto"/>
      </w:pPr>
      <w:r>
        <w:rPr>
          <w:rFonts w:ascii="DM Sans" w:hAnsi="DM Sans" w:cs="DM Sans"/>
          <w:b w:val="0"/>
          <w:i w:val="0"/>
          <w:color w:val="050C2A"/>
          <w:sz w:val="20"/>
          <w:u w:val="none"/>
        </w:rPr>
        <w:t>The same four BARS dimensions, completed for oneself. Self-ratings do not affect the peer evaluation score. They serve two purposes:</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Calibration signal:</w:t>
      </w:r>
      <w:r>
        <w:rPr>
          <w:rFonts w:ascii="DM Sans" w:hAnsi="DM Sans" w:cs="DM Sans"/>
          <w:b w:val="0"/>
          <w:i w:val="0"/>
          <w:color w:val="050C2A"/>
          <w:sz w:val="20"/>
          <w:u w:val="none"/>
        </w:rPr>
        <w:t xml:space="preserve"> Large gaps between self-rating and peer ratings (≥1.5 points on any dimension) flag potential issues — either inflated self-perception or team dynamics problems — for instructor review.</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Reflection input:</w:t>
      </w:r>
      <w:r>
        <w:rPr>
          <w:rFonts w:ascii="DM Sans" w:hAnsi="DM Sans" w:cs="DM Sans"/>
          <w:b w:val="0"/>
          <w:i w:val="0"/>
          <w:color w:val="050C2A"/>
          <w:sz w:val="20"/>
          <w:u w:val="none"/>
        </w:rPr>
        <w:t xml:space="preserve"> Self-assessment contributes to the Self-Awareness competency assessed in reflections. Students who complete Reflection #3 (Week 9) after receiving peer feedback have concrete material to examine.</w:t>
      </w:r>
    </w:p>
    <w:p>
      <w:pPr>
        <w:spacing w:before="200" w:after="60"/>
      </w:pPr>
      <w:r>
        <w:rPr>
          <w:rFonts w:ascii="DM Sans" w:hAnsi="DM Sans" w:cs="DM Sans"/>
          <w:b/>
          <w:i w:val="0"/>
          <w:color w:val="050C2A"/>
          <w:sz w:val="22"/>
          <w:u w:val="none"/>
        </w:rPr>
        <w:t>Part D: Team Pulse (Instructor-Only)</w:t>
      </w:r>
    </w:p>
    <w:p>
      <w:pPr>
        <w:spacing w:before="0" w:after="120" w:line="276" w:lineRule="auto"/>
      </w:pPr>
      <w:r>
        <w:rPr>
          <w:rFonts w:ascii="DM Sans" w:hAnsi="DM Sans" w:cs="DM Sans"/>
          <w:b w:val="0"/>
          <w:i w:val="0"/>
          <w:color w:val="050C2A"/>
          <w:sz w:val="20"/>
          <w:u w:val="none"/>
        </w:rPr>
        <w:t>Two private questions not shared with teammates. These create an instructor triage mechanism for identifying teams in distress.</w:t>
      </w:r>
    </w:p>
    <w:p>
      <w:pPr>
        <w:spacing w:before="0" w:after="120" w:line="276" w:lineRule="auto"/>
      </w:pPr>
      <w:r>
        <w:rPr>
          <w:rFonts w:ascii="DM Sans" w:hAnsi="DM Sans" w:cs="DM Sans"/>
          <w:b/>
          <w:i w:val="0"/>
          <w:color w:val="050C2A"/>
          <w:sz w:val="20"/>
          <w:u w:val="none"/>
        </w:rPr>
        <w:t>1.</w:t>
      </w:r>
      <w:r>
        <w:rPr>
          <w:rFonts w:ascii="DM Sans" w:hAnsi="DM Sans" w:cs="DM Sans"/>
          <w:b w:val="0"/>
          <w:i w:val="0"/>
          <w:color w:val="050C2A"/>
          <w:sz w:val="20"/>
          <w:u w:val="none"/>
        </w:rPr>
        <w:t xml:space="preserve"> "On a scale of 1–10, how confident are you that your team will successfully complete the final deliverables?"</w:t>
      </w:r>
    </w:p>
    <w:p>
      <w:pPr>
        <w:spacing w:before="0" w:after="120" w:line="276" w:lineRule="auto"/>
      </w:pPr>
      <w:r>
        <w:rPr>
          <w:rFonts w:ascii="DM Sans" w:hAnsi="DM Sans" w:cs="DM Sans"/>
          <w:b/>
          <w:i w:val="0"/>
          <w:color w:val="050C2A"/>
          <w:sz w:val="20"/>
          <w:u w:val="none"/>
        </w:rPr>
        <w:t>2.</w:t>
      </w:r>
      <w:r>
        <w:rPr>
          <w:rFonts w:ascii="DM Sans" w:hAnsi="DM Sans" w:cs="DM Sans"/>
          <w:b w:val="0"/>
          <w:i w:val="0"/>
          <w:color w:val="050C2A"/>
          <w:sz w:val="20"/>
          <w:u w:val="none"/>
        </w:rPr>
        <w:t xml:space="preserve"> "Is there anything about your team's dynamics that you feel uncomfortable raising directly? If so, please explain."</w:t>
      </w:r>
    </w:p>
    <w:p>
      <w:pPr>
        <w:spacing w:before="0" w:after="120" w:line="276" w:lineRule="auto"/>
      </w:pPr>
      <w:r>
        <w:rPr>
          <w:rFonts w:ascii="DM Sans" w:hAnsi="DM Sans" w:cs="DM Sans"/>
          <w:b w:val="0"/>
          <w:i w:val="0"/>
          <w:color w:val="050C2A"/>
          <w:sz w:val="20"/>
          <w:u w:val="none"/>
        </w:rPr>
        <w:t>Responses to these questions are reviewed by the instructor only. Teams where multiple members report low confidence (≤5) or flag unspoken concerns are prioritized for instructor check-in.</w:t>
      </w:r>
    </w:p>
    <w:p>
      <w:pPr>
        <w:spacing w:before="240" w:after="80"/>
      </w:pPr>
      <w:r>
        <w:rPr>
          <w:rFonts w:ascii="DM Sans" w:hAnsi="DM Sans" w:cs="DM Sans"/>
          <w:b/>
          <w:i w:val="0"/>
          <w:color w:val="050C2A"/>
          <w:sz w:val="24"/>
          <w:u w:val="none"/>
        </w:rPr>
        <w:t>How Results Are Used</w:t>
      </w:r>
    </w:p>
    <w:p>
      <w:pPr>
        <w:spacing w:before="0" w:after="120" w:line="276" w:lineRule="auto"/>
      </w:pPr>
      <w:r>
        <w:rPr>
          <w:rFonts w:ascii="DM Sans" w:hAnsi="DM Sans" w:cs="DM Sans"/>
          <w:b/>
          <w:i w:val="0"/>
          <w:color w:val="050C2A"/>
          <w:sz w:val="20"/>
          <w:u w:val="none"/>
        </w:rPr>
        <w:t>Qualitative feedback (Part A):</w:t>
      </w:r>
      <w:r>
        <w:rPr>
          <w:rFonts w:ascii="DM Sans" w:hAnsi="DM Sans" w:cs="DM Sans"/>
          <w:b w:val="0"/>
          <w:i w:val="0"/>
          <w:color w:val="050C2A"/>
          <w:sz w:val="20"/>
          <w:u w:val="none"/>
        </w:rPr>
        <w:t xml:space="preserve"> Anonymized and shared back to each student — they see what teammates said but not who said it. This happens between Week 8 submission and the Week 9 Team Processing Session.</w:t>
      </w:r>
    </w:p>
    <w:p>
      <w:pPr>
        <w:spacing w:before="0" w:after="120" w:line="276" w:lineRule="auto"/>
      </w:pPr>
      <w:r>
        <w:rPr>
          <w:rFonts w:ascii="DM Sans" w:hAnsi="DM Sans" w:cs="DM Sans"/>
          <w:b/>
          <w:i w:val="0"/>
          <w:color w:val="050C2A"/>
          <w:sz w:val="20"/>
          <w:u w:val="none"/>
        </w:rPr>
        <w:t>Quantitative ratings (Part B):</w:t>
      </w:r>
      <w:r>
        <w:rPr>
          <w:rFonts w:ascii="DM Sans" w:hAnsi="DM Sans" w:cs="DM Sans"/>
          <w:b w:val="0"/>
          <w:i w:val="0"/>
          <w:color w:val="050C2A"/>
          <w:sz w:val="20"/>
          <w:u w:val="none"/>
        </w:rPr>
        <w:t xml:space="preserve"> Shared as aggregated averages per dimension (not individual rater scores). Students see their average score on each dimension, not the specific rating from each teammate.</w:t>
      </w:r>
    </w:p>
    <w:p>
      <w:pPr>
        <w:spacing w:before="0" w:after="120" w:line="276" w:lineRule="auto"/>
      </w:pPr>
      <w:r>
        <w:rPr>
          <w:rFonts w:ascii="DM Sans" w:hAnsi="DM Sans" w:cs="DM Sans"/>
          <w:b/>
          <w:i w:val="0"/>
          <w:color w:val="050C2A"/>
          <w:sz w:val="20"/>
          <w:u w:val="none"/>
        </w:rPr>
        <w:t>Self-evaluation (Part C):</w:t>
      </w:r>
      <w:r>
        <w:rPr>
          <w:rFonts w:ascii="DM Sans" w:hAnsi="DM Sans" w:cs="DM Sans"/>
          <w:b w:val="0"/>
          <w:i w:val="0"/>
          <w:color w:val="050C2A"/>
          <w:sz w:val="20"/>
          <w:u w:val="none"/>
        </w:rPr>
        <w:t xml:space="preserve"> Instructor review only. Not shared with teammates. Used to flag calibration gaps.</w:t>
      </w:r>
    </w:p>
    <w:p>
      <w:pPr>
        <w:spacing w:before="0" w:after="120" w:line="276" w:lineRule="auto"/>
      </w:pPr>
      <w:r>
        <w:rPr>
          <w:rFonts w:ascii="DM Sans" w:hAnsi="DM Sans" w:cs="DM Sans"/>
          <w:b/>
          <w:i w:val="0"/>
          <w:color w:val="050C2A"/>
          <w:sz w:val="20"/>
          <w:u w:val="none"/>
        </w:rPr>
        <w:t>Team pulse (Part D):</w:t>
      </w:r>
      <w:r>
        <w:rPr>
          <w:rFonts w:ascii="DM Sans" w:hAnsi="DM Sans" w:cs="DM Sans"/>
          <w:b w:val="0"/>
          <w:i w:val="0"/>
          <w:color w:val="050C2A"/>
          <w:sz w:val="20"/>
          <w:u w:val="none"/>
        </w:rPr>
        <w:t xml:space="preserve"> Instructor review only. Not shared with anyone. Used for triage.</w:t>
      </w:r>
    </w:p>
    <w:p>
      <w:pPr>
        <w:spacing w:before="0" w:after="120" w:line="276" w:lineRule="auto"/>
      </w:pPr>
      <w:r>
        <w:rPr>
          <w:rFonts w:ascii="DM Sans" w:hAnsi="DM Sans" w:cs="DM Sans"/>
          <w:b/>
          <w:i w:val="0"/>
          <w:color w:val="050C2A"/>
          <w:sz w:val="20"/>
          <w:u w:val="none"/>
        </w:rPr>
        <w:t>Grade contribution:</w:t>
      </w:r>
      <w:r>
        <w:rPr>
          <w:rFonts w:ascii="DM Sans" w:hAnsi="DM Sans" w:cs="DM Sans"/>
          <w:b w:val="0"/>
          <w:i w:val="0"/>
          <w:color w:val="050C2A"/>
          <w:sz w:val="20"/>
          <w:u w:val="none"/>
        </w:rPr>
        <w:t xml:space="preserve"> Week 8 peer evaluation contributes 30% of the overall peer evaluation score (which is 50% of the Professional Engagement component). The formative weight is deliberately lower than the summative evaluation because the primary purpose is developmental, not evaluative.</w:t>
      </w:r>
    </w:p>
    <w:p>
      <w:pPr>
        <w:spacing w:before="240" w:after="80"/>
      </w:pPr>
      <w:r>
        <w:rPr>
          <w:rFonts w:ascii="DM Sans" w:hAnsi="DM Sans" w:cs="DM Sans"/>
          <w:b/>
          <w:i w:val="0"/>
          <w:color w:val="050C2A"/>
          <w:sz w:val="24"/>
          <w:u w:val="none"/>
        </w:rPr>
        <w:t>Instructor Review Flags</w:t>
      </w:r>
    </w:p>
    <w:p>
      <w:pPr>
        <w:spacing w:before="0" w:after="120" w:line="276" w:lineRule="auto"/>
      </w:pPr>
      <w:r>
        <w:rPr>
          <w:rFonts w:ascii="DM Sans" w:hAnsi="DM Sans" w:cs="DM Sans"/>
          <w:b w:val="0"/>
          <w:i w:val="0"/>
          <w:color w:val="050C2A"/>
          <w:sz w:val="20"/>
          <w:u w:val="none"/>
        </w:rPr>
        <w:t>The following patterns trigger mandatory instructor review:</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Any individual receiving a rating of 1 on any dimension from more than one teammate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Standard deviation &gt; 1.5 on any dimension within a team (indicates the team does not agree on what happened)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Self-rating exceeding peer average by ≥ 1.5 points on any dimension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Team pulse confidence scores ≤ 5 from multiple team members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Any text response in the "uncomfortable raising directly" question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Evidence responses flagged as insufficient (fewer than two sentences or no behavioral specifics)</w:t>
      </w:r>
    </w:p>
    <w:p>
      <w:pPr>
        <w:spacing w:before="280" w:after="100"/>
      </w:pPr>
      <w:r>
        <w:rPr>
          <w:rFonts w:ascii="DM Sans" w:hAnsi="DM Sans" w:cs="DM Sans"/>
          <w:b/>
          <w:i w:val="0"/>
          <w:color w:val="050C2A"/>
          <w:sz w:val="28"/>
          <w:u w:val="none"/>
        </w:rPr>
        <w:t>The Feedback Loop: Team Processing Session (Week 9)</w:t>
      </w:r>
    </w:p>
    <w:p>
      <w:pPr>
        <w:spacing w:before="0" w:after="120" w:line="276" w:lineRule="auto"/>
      </w:pPr>
      <w:r>
        <w:rPr>
          <w:rFonts w:ascii="DM Sans" w:hAnsi="DM Sans" w:cs="DM Sans"/>
          <w:b w:val="0"/>
          <w:i w:val="0"/>
          <w:color w:val="050C2A"/>
          <w:sz w:val="20"/>
          <w:u w:val="none"/>
        </w:rPr>
        <w:t>The mid-project evaluation is only valuable if it triggers behavioral change. The Week 9 Team Processing Session closes the feedback loop.</w:t>
      </w:r>
    </w:p>
    <w:p>
      <w:pPr>
        <w:spacing w:before="240" w:after="80"/>
      </w:pPr>
      <w:r>
        <w:rPr>
          <w:rFonts w:ascii="DM Sans" w:hAnsi="DM Sans" w:cs="DM Sans"/>
          <w:b/>
          <w:i w:val="0"/>
          <w:color w:val="050C2A"/>
          <w:sz w:val="24"/>
          <w:u w:val="none"/>
        </w:rPr>
        <w:t>Process</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Students submit Peer Evaluation #1</w:t>
      </w:r>
      <w:r>
        <w:rPr>
          <w:rFonts w:ascii="DM Sans" w:hAnsi="DM Sans" w:cs="DM Sans"/>
          <w:b w:val="0"/>
          <w:i w:val="0"/>
          <w:color w:val="050C2A"/>
          <w:sz w:val="20"/>
          <w:u w:val="none"/>
        </w:rPr>
        <w:t xml:space="preserve"> individually (Week 8)</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Instructor reviews</w:t>
      </w:r>
      <w:r>
        <w:rPr>
          <w:rFonts w:ascii="DM Sans" w:hAnsi="DM Sans" w:cs="DM Sans"/>
          <w:b w:val="0"/>
          <w:i w:val="0"/>
          <w:color w:val="050C2A"/>
          <w:sz w:val="20"/>
          <w:u w:val="none"/>
        </w:rPr>
        <w:t xml:space="preserve"> for anomalies, bias patterns, conflict clusters, and team pulse concerns (between Week 8 submission and Week 9)</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Anonymized qualitative feedback</w:t>
      </w:r>
      <w:r>
        <w:rPr>
          <w:rFonts w:ascii="DM Sans" w:hAnsi="DM Sans" w:cs="DM Sans"/>
          <w:b w:val="0"/>
          <w:i w:val="0"/>
          <w:color w:val="050C2A"/>
          <w:sz w:val="20"/>
          <w:u w:val="none"/>
        </w:rPr>
        <w:t xml:space="preserve"> (Continue/Start/Adjust) is released to each student</w:t>
      </w:r>
    </w:p>
    <w:p>
      <w:pPr>
        <w:ind w:left="720" w:hanging="360"/>
        <w:spacing w:before="0" w:after="60" w:line="276" w:lineRule="auto"/>
      </w:pPr>
      <w:r>
        <w:rPr>
          <w:rFonts w:ascii="DM Sans" w:hAnsi="DM Sans" w:cs="DM Sans"/>
          <w:b/>
          <w:i w:val="0"/>
          <w:color w:val="050C2A"/>
          <w:sz w:val="20"/>
          <w:u w:val="none"/>
        </w:rPr>
        <w:t xml:space="preserve">4.  </w:t>
      </w:r>
      <w:r>
        <w:rPr>
          <w:rFonts w:ascii="DM Sans" w:hAnsi="DM Sans" w:cs="DM Sans"/>
          <w:b/>
          <w:i w:val="0"/>
          <w:color w:val="050C2A"/>
          <w:sz w:val="20"/>
          <w:u w:val="none"/>
        </w:rPr>
        <w:t>Aggregated quantitative ratings</w:t>
      </w:r>
      <w:r>
        <w:rPr>
          <w:rFonts w:ascii="DM Sans" w:hAnsi="DM Sans" w:cs="DM Sans"/>
          <w:b w:val="0"/>
          <w:i w:val="0"/>
          <w:color w:val="050C2A"/>
          <w:sz w:val="20"/>
          <w:u w:val="none"/>
        </w:rPr>
        <w:t xml:space="preserve"> are released to each student (dimension averages only)</w:t>
      </w:r>
    </w:p>
    <w:p>
      <w:pPr>
        <w:ind w:left="720" w:hanging="360"/>
        <w:spacing w:before="0" w:after="60" w:line="276" w:lineRule="auto"/>
      </w:pPr>
      <w:r>
        <w:rPr>
          <w:rFonts w:ascii="DM Sans" w:hAnsi="DM Sans" w:cs="DM Sans"/>
          <w:b/>
          <w:i w:val="0"/>
          <w:color w:val="050C2A"/>
          <w:sz w:val="20"/>
          <w:u w:val="none"/>
        </w:rPr>
        <w:t xml:space="preserve">5.  </w:t>
      </w:r>
      <w:r>
        <w:rPr>
          <w:rFonts w:ascii="DM Sans" w:hAnsi="DM Sans" w:cs="DM Sans"/>
          <w:b/>
          <w:i w:val="0"/>
          <w:color w:val="050C2A"/>
          <w:sz w:val="20"/>
          <w:u w:val="none"/>
        </w:rPr>
        <w:t>Team Processing Session</w:t>
      </w:r>
      <w:r>
        <w:rPr>
          <w:rFonts w:ascii="DM Sans" w:hAnsi="DM Sans" w:cs="DM Sans"/>
          <w:b w:val="0"/>
          <w:i w:val="0"/>
          <w:color w:val="050C2A"/>
          <w:sz w:val="20"/>
          <w:u w:val="none"/>
        </w:rPr>
        <w:t xml:space="preserve"> (Week 9 activity): Teams meet to discuss the feedback they received. This is a structured activity — not optional. Teams produce a brief written agreement: "Based on the feedback, our team has agreed to change the following about how we work together: [specific changes]." This document is submitted as part of the Week 9 activities.</w:t>
      </w:r>
    </w:p>
    <w:p>
      <w:pPr>
        <w:spacing w:before="240" w:after="80"/>
      </w:pPr>
      <w:r>
        <w:rPr>
          <w:rFonts w:ascii="DM Sans" w:hAnsi="DM Sans" w:cs="DM Sans"/>
          <w:b/>
          <w:i w:val="0"/>
          <w:color w:val="050C2A"/>
          <w:sz w:val="24"/>
          <w:u w:val="none"/>
        </w:rPr>
        <w:t>Design Rationale</w:t>
      </w:r>
    </w:p>
    <w:p>
      <w:pPr>
        <w:spacing w:before="0" w:after="120" w:line="276" w:lineRule="auto"/>
      </w:pPr>
      <w:r>
        <w:rPr>
          <w:rFonts w:ascii="DM Sans" w:hAnsi="DM Sans" w:cs="DM Sans"/>
          <w:b w:val="0"/>
          <w:i w:val="0"/>
          <w:color w:val="050C2A"/>
          <w:sz w:val="20"/>
          <w:u w:val="none"/>
        </w:rPr>
        <w:t>The Team Processing Session maps directly to the Week 9 module theme "Strengthening Your Work," which includes content on having the peer evaluation conversation. Students receive both the feedback itself and instruction on how to discuss it productively before the team meeting occurs. The written agreement creates a reference point — if the same issues surface in the Week 15 summative evaluation, the agreement provides evidence that the behavior was named and not corrected.</w:t>
      </w:r>
    </w:p>
    <w:p>
      <w:pPr>
        <w:spacing w:before="280" w:after="100"/>
      </w:pPr>
      <w:r>
        <w:rPr>
          <w:rFonts w:ascii="DM Sans" w:hAnsi="DM Sans" w:cs="DM Sans"/>
          <w:b/>
          <w:i w:val="0"/>
          <w:color w:val="050C2A"/>
          <w:sz w:val="28"/>
          <w:u w:val="none"/>
        </w:rPr>
        <w:t>Peer Evaluation #2 — End-of-Project Summative (Week 15)</w:t>
      </w:r>
    </w:p>
    <w:p>
      <w:pPr>
        <w:spacing w:before="240" w:after="80"/>
      </w:pPr>
      <w:r>
        <w:rPr>
          <w:rFonts w:ascii="DM Sans" w:hAnsi="DM Sans" w:cs="DM Sans"/>
          <w:b/>
          <w:i w:val="0"/>
          <w:color w:val="050C2A"/>
          <w:sz w:val="24"/>
          <w:u w:val="none"/>
        </w:rPr>
        <w:t>Purpose</w:t>
      </w:r>
    </w:p>
    <w:p>
      <w:pPr>
        <w:spacing w:before="0" w:after="120" w:line="276" w:lineRule="auto"/>
      </w:pPr>
      <w:r>
        <w:rPr>
          <w:rFonts w:ascii="DM Sans" w:hAnsi="DM Sans" w:cs="DM Sans"/>
          <w:b w:val="0"/>
          <w:i w:val="0"/>
          <w:color w:val="050C2A"/>
          <w:sz w:val="20"/>
          <w:u w:val="none"/>
        </w:rPr>
        <w:t>Evaluative and administrative. The end-of-project evaluation measures the overall arc of each team member's contribution to assign a fair grade. It provides closure and ensures individual accountability for the complete project.</w:t>
      </w:r>
    </w:p>
    <w:p>
      <w:pPr>
        <w:spacing w:before="240" w:after="80"/>
      </w:pPr>
      <w:r>
        <w:rPr>
          <w:rFonts w:ascii="DM Sans" w:hAnsi="DM Sans" w:cs="DM Sans"/>
          <w:b/>
          <w:i w:val="0"/>
          <w:color w:val="050C2A"/>
          <w:sz w:val="24"/>
          <w:u w:val="none"/>
        </w:rPr>
        <w:t>Timing</w:t>
      </w:r>
    </w:p>
    <w:p>
      <w:pPr>
        <w:spacing w:before="0" w:after="120" w:line="276" w:lineRule="auto"/>
      </w:pPr>
      <w:r>
        <w:rPr>
          <w:rFonts w:ascii="DM Sans" w:hAnsi="DM Sans" w:cs="DM Sans"/>
          <w:b w:val="0"/>
          <w:i w:val="0"/>
          <w:color w:val="050C2A"/>
          <w:sz w:val="20"/>
          <w:u w:val="none"/>
        </w:rPr>
        <w:t>Week 15 (Integration phase), after the Final Presentation and alongside Reflection #5. Students have the complete experience to evaluate — all deliverables submitted, all employer touchpoints completed, all team dynamics played out.</w:t>
      </w:r>
    </w:p>
    <w:p>
      <w:pPr>
        <w:spacing w:before="240" w:after="80"/>
      </w:pPr>
      <w:r>
        <w:rPr>
          <w:rFonts w:ascii="DM Sans" w:hAnsi="DM Sans" w:cs="DM Sans"/>
          <w:b/>
          <w:i w:val="0"/>
          <w:color w:val="050C2A"/>
          <w:sz w:val="24"/>
          <w:u w:val="none"/>
        </w:rPr>
        <w:t>Instrument Structure</w:t>
      </w:r>
    </w:p>
    <w:p>
      <w:pPr>
        <w:spacing w:before="0" w:after="120" w:line="276" w:lineRule="auto"/>
      </w:pPr>
      <w:r>
        <w:rPr>
          <w:rFonts w:ascii="DM Sans" w:hAnsi="DM Sans" w:cs="DM Sans"/>
          <w:b w:val="0"/>
          <w:i w:val="0"/>
          <w:color w:val="050C2A"/>
          <w:sz w:val="20"/>
          <w:u w:val="none"/>
        </w:rPr>
        <w:t>The summative evaluation is quantitative-focused. It retains the BARS framework from Week 8 but shifts emphasis from development to differentiation.</w:t>
      </w:r>
    </w:p>
    <w:p>
      <w:pPr>
        <w:spacing w:before="200" w:after="60"/>
      </w:pPr>
      <w:r>
        <w:rPr>
          <w:rFonts w:ascii="DM Sans" w:hAnsi="DM Sans" w:cs="DM Sans"/>
          <w:b/>
          <w:i w:val="0"/>
          <w:color w:val="050C2A"/>
          <w:sz w:val="22"/>
          <w:u w:val="none"/>
        </w:rPr>
        <w:t>Part A: BARS Ratings (per teammate)</w:t>
      </w:r>
    </w:p>
    <w:p>
      <w:pPr>
        <w:spacing w:before="0" w:after="120" w:line="276" w:lineRule="auto"/>
      </w:pPr>
      <w:r>
        <w:rPr>
          <w:rFonts w:ascii="DM Sans" w:hAnsi="DM Sans" w:cs="DM Sans"/>
          <w:b w:val="0"/>
          <w:i w:val="0"/>
          <w:color w:val="050C2A"/>
          <w:sz w:val="20"/>
          <w:u w:val="none"/>
        </w:rPr>
        <w:t>The same four dimensions (Reliability, Contribution, Constructive Engagement, Accountability) using the same behavioral anchors as Week 8. Same evidence requirement — 1–2 sentences of specific behavioral examples for each rating.</w:t>
      </w:r>
    </w:p>
    <w:p>
      <w:pPr>
        <w:spacing w:before="0" w:after="120" w:line="276" w:lineRule="auto"/>
      </w:pPr>
      <w:r>
        <w:rPr>
          <w:rFonts w:ascii="DM Sans" w:hAnsi="DM Sans" w:cs="DM Sans"/>
          <w:b w:val="0"/>
          <w:i w:val="0"/>
          <w:color w:val="050C2A"/>
          <w:sz w:val="20"/>
          <w:u w:val="none"/>
        </w:rPr>
        <w:t>Using the same BARS across both evaluations means students are already calibrated to the instrument. The anchors are familiar, reducing cognitive load and increasing reliability of the summative data.</w:t>
      </w:r>
    </w:p>
    <w:p>
      <w:pPr>
        <w:spacing w:before="0" w:after="120" w:line="276" w:lineRule="auto"/>
      </w:pPr>
      <w:r>
        <w:rPr>
          <w:rFonts w:ascii="DM Sans" w:hAnsi="DM Sans" w:cs="DM Sans"/>
          <w:b/>
          <w:i w:val="0"/>
          <w:color w:val="050C2A"/>
          <w:sz w:val="20"/>
          <w:u w:val="none"/>
        </w:rPr>
        <w:t>Important:</w:t>
      </w:r>
      <w:r>
        <w:rPr>
          <w:rFonts w:ascii="DM Sans" w:hAnsi="DM Sans" w:cs="DM Sans"/>
          <w:b w:val="0"/>
          <w:i w:val="0"/>
          <w:color w:val="050C2A"/>
          <w:sz w:val="20"/>
          <w:u w:val="none"/>
        </w:rPr>
        <w:t xml:space="preserve"> Evaluators rate the full arc of collaboration, not just the final weeks. The prompt framing is: "Considering the entire project from Week 1 through Week 15, select the descriptor that best characterizes this teammate's behavior."</w:t>
      </w:r>
    </w:p>
    <w:p>
      <w:pPr>
        <w:spacing w:before="200" w:after="60"/>
      </w:pPr>
      <w:r>
        <w:rPr>
          <w:rFonts w:ascii="DM Sans" w:hAnsi="DM Sans" w:cs="DM Sans"/>
          <w:b/>
          <w:i w:val="0"/>
          <w:color w:val="050C2A"/>
          <w:sz w:val="22"/>
          <w:u w:val="none"/>
        </w:rPr>
        <w:t>Part B: Contribution Allocation (per team)</w:t>
      </w:r>
    </w:p>
    <w:p>
      <w:pPr>
        <w:spacing w:before="0" w:after="120" w:line="276" w:lineRule="auto"/>
      </w:pPr>
      <w:r>
        <w:rPr>
          <w:rFonts w:ascii="DM Sans" w:hAnsi="DM Sans" w:cs="DM Sans"/>
          <w:b w:val="0"/>
          <w:i w:val="0"/>
          <w:color w:val="050C2A"/>
          <w:sz w:val="20"/>
          <w:u w:val="none"/>
        </w:rPr>
        <w:t>In addition to the BARS ratings, students distribute 100 points across their teammates (excluding themselves) based on overall contribution to the project. The constraint: points cannot be distributed equally. Students must differentiate.</w:t>
      </w:r>
    </w:p>
    <w:p>
      <w:pPr>
        <w:spacing w:before="0" w:after="120" w:line="276" w:lineRule="auto"/>
      </w:pPr>
      <w:r>
        <w:rPr>
          <w:rFonts w:ascii="DM Sans" w:hAnsi="DM Sans" w:cs="DM Sans"/>
          <w:b w:val="0"/>
          <w:i w:val="0"/>
          <w:color w:val="050C2A"/>
          <w:sz w:val="20"/>
          <w:u w:val="none"/>
        </w:rPr>
        <w:t>This "divide the pie" method provides a second signal that complements the BARS data. It forces evaluators to make relative judgments — who contributed more, who contributed less — rather than rating each person in isolation. Research shows this zero-sum approach reveals the true contribution hierarchy within a team more effectively than independent ratings.</w:t>
      </w:r>
    </w:p>
    <w:p>
      <w:pPr>
        <w:spacing w:before="0" w:after="120" w:line="276" w:lineRule="auto"/>
      </w:pPr>
      <w:r>
        <w:rPr>
          <w:rFonts w:ascii="DM Sans" w:hAnsi="DM Sans" w:cs="DM Sans"/>
          <w:b/>
          <w:i w:val="0"/>
          <w:color w:val="050C2A"/>
          <w:sz w:val="20"/>
          <w:u w:val="none"/>
        </w:rPr>
        <w:t>Example for a team of three:</w:t>
      </w:r>
      <w:r>
        <w:rPr>
          <w:rFonts w:ascii="DM Sans" w:hAnsi="DM Sans" w:cs="DM Sans"/>
          <w:b w:val="0"/>
          <w:i w:val="0"/>
          <w:color w:val="050C2A"/>
          <w:sz w:val="20"/>
          <w:u w:val="none"/>
        </w:rPr>
        <w:t xml:space="preserve"> A student distributes 100 points between their two teammates. If both contributed equally, the closest allocation is 51/49 (equal distribution is not permitted). If one clearly contributed more, the allocation might be 65/35 or 70/30.</w:t>
      </w:r>
    </w:p>
    <w:p>
      <w:pPr>
        <w:spacing w:before="0" w:after="120" w:line="276" w:lineRule="auto"/>
      </w:pPr>
      <w:r>
        <w:rPr>
          <w:rFonts w:ascii="DM Sans" w:hAnsi="DM Sans" w:cs="DM Sans"/>
          <w:b w:val="0"/>
          <w:i w:val="0"/>
          <w:color w:val="050C2A"/>
          <w:sz w:val="20"/>
          <w:u w:val="none"/>
        </w:rPr>
        <w:t>The contribution allocation is used by the instructor as a calibration check on the BARS ratings, not as a direct grade input. If the BARS ratings and the allocation tell different stories, the instructor investigates.</w:t>
      </w:r>
    </w:p>
    <w:p>
      <w:pPr>
        <w:spacing w:before="200" w:after="60"/>
      </w:pPr>
      <w:r>
        <w:rPr>
          <w:rFonts w:ascii="DM Sans" w:hAnsi="DM Sans" w:cs="DM Sans"/>
          <w:b/>
          <w:i w:val="0"/>
          <w:color w:val="050C2A"/>
          <w:sz w:val="22"/>
          <w:u w:val="none"/>
        </w:rPr>
        <w:t>Part C: Self-Evaluation</w:t>
      </w:r>
    </w:p>
    <w:p>
      <w:pPr>
        <w:spacing w:before="0" w:after="120" w:line="276" w:lineRule="auto"/>
      </w:pPr>
      <w:r>
        <w:rPr>
          <w:rFonts w:ascii="DM Sans" w:hAnsi="DM Sans" w:cs="DM Sans"/>
          <w:b w:val="0"/>
          <w:i w:val="0"/>
          <w:color w:val="050C2A"/>
          <w:sz w:val="20"/>
          <w:u w:val="none"/>
        </w:rPr>
        <w:t>Same four BARS dimensions, completed for oneself. Same calibration function as Week 8.</w:t>
      </w:r>
    </w:p>
    <w:p>
      <w:pPr>
        <w:spacing w:before="200" w:after="60"/>
      </w:pPr>
      <w:r>
        <w:rPr>
          <w:rFonts w:ascii="DM Sans" w:hAnsi="DM Sans" w:cs="DM Sans"/>
          <w:b/>
          <w:i w:val="0"/>
          <w:color w:val="050C2A"/>
          <w:sz w:val="22"/>
          <w:u w:val="none"/>
        </w:rPr>
        <w:t>Part D: Closure Questions (Instructor-Only)</w:t>
      </w:r>
    </w:p>
    <w:p>
      <w:pPr>
        <w:spacing w:before="0" w:after="120" w:line="276" w:lineRule="auto"/>
      </w:pPr>
      <w:r>
        <w:rPr>
          <w:rFonts w:ascii="DM Sans" w:hAnsi="DM Sans" w:cs="DM Sans"/>
          <w:b w:val="0"/>
          <w:i w:val="0"/>
          <w:color w:val="050C2A"/>
          <w:sz w:val="20"/>
          <w:u w:val="none"/>
        </w:rPr>
        <w:t>Two private questions for instructor review:</w:t>
      </w:r>
    </w:p>
    <w:p>
      <w:pPr>
        <w:spacing w:before="0" w:after="120" w:line="276" w:lineRule="auto"/>
      </w:pPr>
      <w:r>
        <w:rPr>
          <w:rFonts w:ascii="DM Sans" w:hAnsi="DM Sans" w:cs="DM Sans"/>
          <w:b/>
          <w:i w:val="0"/>
          <w:color w:val="050C2A"/>
          <w:sz w:val="20"/>
          <w:u w:val="none"/>
        </w:rPr>
        <w:t>1.</w:t>
      </w:r>
      <w:r>
        <w:rPr>
          <w:rFonts w:ascii="DM Sans" w:hAnsi="DM Sans" w:cs="DM Sans"/>
          <w:b w:val="0"/>
          <w:i w:val="0"/>
          <w:color w:val="050C2A"/>
          <w:sz w:val="20"/>
          <w:u w:val="none"/>
        </w:rPr>
        <w:t xml:space="preserve"> "Is there anything about this project or this team's dynamics that you want the instructor to know but did not feel comfortable including in the evaluation above?"</w:t>
      </w:r>
    </w:p>
    <w:p>
      <w:pPr>
        <w:spacing w:before="0" w:after="120" w:line="276" w:lineRule="auto"/>
      </w:pPr>
      <w:r>
        <w:rPr>
          <w:rFonts w:ascii="DM Sans" w:hAnsi="DM Sans" w:cs="DM Sans"/>
          <w:b/>
          <w:i w:val="0"/>
          <w:color w:val="050C2A"/>
          <w:sz w:val="20"/>
          <w:u w:val="none"/>
        </w:rPr>
        <w:t>2.</w:t>
      </w:r>
      <w:r>
        <w:rPr>
          <w:rFonts w:ascii="DM Sans" w:hAnsi="DM Sans" w:cs="DM Sans"/>
          <w:b w:val="0"/>
          <w:i w:val="0"/>
          <w:color w:val="050C2A"/>
          <w:sz w:val="20"/>
          <w:u w:val="none"/>
        </w:rPr>
        <w:t xml:space="preserve"> "If you were starting a new project tomorrow, would you want to work with this team again? Why or why not?"</w:t>
      </w:r>
    </w:p>
    <w:p>
      <w:pPr>
        <w:spacing w:before="0" w:after="120" w:line="276" w:lineRule="auto"/>
      </w:pPr>
      <w:r>
        <w:rPr>
          <w:rFonts w:ascii="DM Sans" w:hAnsi="DM Sans" w:cs="DM Sans"/>
          <w:b w:val="0"/>
          <w:i w:val="0"/>
          <w:color w:val="050C2A"/>
          <w:sz w:val="20"/>
          <w:u w:val="none"/>
        </w:rPr>
        <w:t>These provide context that may not surface in the structured evaluation — for example, a student who rated a teammate generously despite significant frustration, or a team that worked well despite what the numbers might suggest.</w:t>
      </w:r>
    </w:p>
    <w:p>
      <w:pPr>
        <w:spacing w:before="240" w:after="80"/>
      </w:pPr>
      <w:r>
        <w:rPr>
          <w:rFonts w:ascii="DM Sans" w:hAnsi="DM Sans" w:cs="DM Sans"/>
          <w:b/>
          <w:i w:val="0"/>
          <w:color w:val="050C2A"/>
          <w:sz w:val="24"/>
          <w:u w:val="none"/>
        </w:rPr>
        <w:t>How Results Are Used</w:t>
      </w:r>
    </w:p>
    <w:p>
      <w:pPr>
        <w:spacing w:before="0" w:after="120" w:line="276" w:lineRule="auto"/>
      </w:pPr>
      <w:r>
        <w:rPr>
          <w:rFonts w:ascii="DM Sans" w:hAnsi="DM Sans" w:cs="DM Sans"/>
          <w:b/>
          <w:i w:val="0"/>
          <w:color w:val="050C2A"/>
          <w:sz w:val="20"/>
          <w:u w:val="none"/>
        </w:rPr>
        <w:t>Grade contribution:</w:t>
      </w:r>
      <w:r>
        <w:rPr>
          <w:rFonts w:ascii="DM Sans" w:hAnsi="DM Sans" w:cs="DM Sans"/>
          <w:b w:val="0"/>
          <w:i w:val="0"/>
          <w:color w:val="050C2A"/>
          <w:sz w:val="20"/>
          <w:u w:val="none"/>
        </w:rPr>
        <w:t xml:space="preserve"> Week 15 peer evaluation contributes 70% of the overall peer evaluation score. The summative weight is deliberately higher than the formative evaluation because it reflects the complete arc of collaboration.</w:t>
      </w:r>
    </w:p>
    <w:p>
      <w:pPr>
        <w:spacing w:before="0" w:after="120" w:line="276" w:lineRule="auto"/>
      </w:pPr>
      <w:r>
        <w:rPr>
          <w:rFonts w:ascii="DM Sans" w:hAnsi="DM Sans" w:cs="DM Sans"/>
          <w:b/>
          <w:i w:val="0"/>
          <w:color w:val="050C2A"/>
          <w:sz w:val="20"/>
          <w:u w:val="none"/>
        </w:rPr>
        <w:t>Results sharing:</w:t>
      </w:r>
      <w:r>
        <w:rPr>
          <w:rFonts w:ascii="DM Sans" w:hAnsi="DM Sans" w:cs="DM Sans"/>
          <w:b w:val="0"/>
          <w:i w:val="0"/>
          <w:color w:val="050C2A"/>
          <w:sz w:val="20"/>
          <w:u w:val="none"/>
        </w:rPr>
        <w:t xml:space="preserve"> Institutional choice — results may or may not be shared with students. If shared, the same anonymization protocol applies (aggregated dimension averages, anonymized qualitative comments).</w:t>
      </w:r>
    </w:p>
    <w:p>
      <w:pPr>
        <w:spacing w:before="0" w:after="120" w:line="276" w:lineRule="auto"/>
      </w:pPr>
      <w:r>
        <w:rPr>
          <w:rFonts w:ascii="DM Sans" w:hAnsi="DM Sans" w:cs="DM Sans"/>
          <w:b/>
          <w:i w:val="0"/>
          <w:color w:val="050C2A"/>
          <w:sz w:val="20"/>
          <w:u w:val="none"/>
        </w:rPr>
        <w:t>Instructor override:</w:t>
      </w:r>
      <w:r>
        <w:rPr>
          <w:rFonts w:ascii="DM Sans" w:hAnsi="DM Sans" w:cs="DM Sans"/>
          <w:b w:val="0"/>
          <w:i w:val="0"/>
          <w:color w:val="050C2A"/>
          <w:sz w:val="20"/>
          <w:u w:val="none"/>
        </w:rPr>
        <w:t xml:space="preserve"> The instructor retains final judgment on Professional Engagement scores. Peer evaluation data informs but does not determine the grade. This acknowledges that peer evaluations can reflect interpersonal dynamics as much as actual contribution.</w:t>
      </w:r>
    </w:p>
    <w:p>
      <w:pPr>
        <w:spacing w:before="280" w:after="100"/>
      </w:pPr>
      <w:r>
        <w:rPr>
          <w:rFonts w:ascii="DM Sans" w:hAnsi="DM Sans" w:cs="DM Sans"/>
          <w:b/>
          <w:i w:val="0"/>
          <w:color w:val="050C2A"/>
          <w:sz w:val="28"/>
          <w:u w:val="none"/>
        </w:rPr>
        <w:t>Scoring Mechanics</w:t>
      </w:r>
    </w:p>
    <w:p>
      <w:pPr>
        <w:spacing w:before="240" w:after="80"/>
      </w:pPr>
      <w:r>
        <w:rPr>
          <w:rFonts w:ascii="DM Sans" w:hAnsi="DM Sans" w:cs="DM Sans"/>
          <w:b/>
          <w:i w:val="0"/>
          <w:color w:val="050C2A"/>
          <w:sz w:val="24"/>
          <w:u w:val="none"/>
        </w:rPr>
        <w:t>How Peer Evaluation Scores Are Calculated</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Average across teammates:</w:t>
      </w:r>
      <w:r>
        <w:rPr>
          <w:rFonts w:ascii="DM Sans" w:hAnsi="DM Sans" w:cs="DM Sans"/>
          <w:b w:val="0"/>
          <w:i w:val="0"/>
          <w:color w:val="050C2A"/>
          <w:sz w:val="20"/>
          <w:u w:val="none"/>
        </w:rPr>
        <w:t xml:space="preserve"> For each dimension, the student receives the average of ratings from all teammates (excluding self-evaluation). In a team of three, each student is rated by two peers.</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Average across dimensions:</w:t>
      </w:r>
      <w:r>
        <w:rPr>
          <w:rFonts w:ascii="DM Sans" w:hAnsi="DM Sans" w:cs="DM Sans"/>
          <w:b w:val="0"/>
          <w:i w:val="0"/>
          <w:color w:val="050C2A"/>
          <w:sz w:val="20"/>
          <w:u w:val="none"/>
        </w:rPr>
        <w:t xml:space="preserve"> The four dimension averages are combined into a single peer evaluation score (1–4 scale).</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Weight the two evaluations:</w:t>
      </w:r>
      <w:r>
        <w:rPr>
          <w:rFonts w:ascii="DM Sans" w:hAnsi="DM Sans" w:cs="DM Sans"/>
          <w:b w:val="0"/>
          <w:i w:val="0"/>
          <w:color w:val="050C2A"/>
          <w:sz w:val="20"/>
          <w:u w:val="none"/>
        </w:rPr>
        <w:t xml:space="preserve"> Week 8 (formative) = 30%; Week 15 (summative) = 70%. The summative evaluation is weighted more heavily because it reflects the complete arc of collaboration.</w:t>
      </w:r>
    </w:p>
    <w:p>
      <w:pPr>
        <w:ind w:left="720" w:hanging="360"/>
        <w:spacing w:before="0" w:after="60" w:line="276" w:lineRule="auto"/>
      </w:pPr>
      <w:r>
        <w:rPr>
          <w:rFonts w:ascii="DM Sans" w:hAnsi="DM Sans" w:cs="DM Sans"/>
          <w:b/>
          <w:i w:val="0"/>
          <w:color w:val="050C2A"/>
          <w:sz w:val="20"/>
          <w:u w:val="none"/>
        </w:rPr>
        <w:t xml:space="preserve">4.  </w:t>
      </w:r>
      <w:r>
        <w:rPr>
          <w:rFonts w:ascii="DM Sans" w:hAnsi="DM Sans" w:cs="DM Sans"/>
          <w:b/>
          <w:i w:val="0"/>
          <w:color w:val="050C2A"/>
          <w:sz w:val="20"/>
          <w:u w:val="none"/>
        </w:rPr>
        <w:t>Convert to percentage:</w:t>
      </w:r>
      <w:r>
        <w:rPr>
          <w:rFonts w:ascii="DM Sans" w:hAnsi="DM Sans" w:cs="DM Sans"/>
          <w:b w:val="0"/>
          <w:i w:val="0"/>
          <w:color w:val="050C2A"/>
          <w:sz w:val="20"/>
          <w:u w:val="none"/>
        </w:rPr>
        <w:t xml:space="preserve"> The combined score (1–4) maps to a percentage: 4 = 95%, 3 = 85%, 2 = 75%, 1 = 65%.</w:t>
      </w:r>
    </w:p>
    <w:p>
      <w:pPr>
        <w:spacing w:before="240" w:after="80"/>
      </w:pPr>
      <w:r>
        <w:rPr>
          <w:rFonts w:ascii="DM Sans" w:hAnsi="DM Sans" w:cs="DM Sans"/>
          <w:b/>
          <w:i w:val="0"/>
          <w:color w:val="050C2A"/>
          <w:sz w:val="24"/>
          <w:u w:val="none"/>
        </w:rPr>
        <w:t>Example</w:t>
      </w:r>
    </w:p>
    <w:p>
      <w:pPr>
        <w:spacing w:before="0" w:after="120" w:line="276" w:lineRule="auto"/>
      </w:pPr>
      <w:r>
        <w:rPr>
          <w:rFonts w:ascii="DM Sans" w:hAnsi="DM Sans" w:cs="DM Sans"/>
          <w:b w:val="0"/>
          <w:i w:val="0"/>
          <w:color w:val="050C2A"/>
          <w:sz w:val="20"/>
          <w:u w:val="none"/>
        </w:rPr>
        <w:t>Maya receives an average peer score of 3.5 at Week 8 and 3.75 at Week 15. Her combined peer evaluation score is (3.5 × 0.30) + (3.75 × 0.70) = 3.675, which converts to approximately 91%.</w:t>
      </w:r>
    </w:p>
    <w:p>
      <w:pPr>
        <w:spacing w:before="240" w:after="80"/>
      </w:pPr>
      <w:r>
        <w:rPr>
          <w:rFonts w:ascii="DM Sans" w:hAnsi="DM Sans" w:cs="DM Sans"/>
          <w:b/>
          <w:i w:val="0"/>
          <w:color w:val="050C2A"/>
          <w:sz w:val="24"/>
          <w:u w:val="none"/>
        </w:rPr>
        <w:t>Safety Mechanisms</w:t>
      </w:r>
    </w:p>
    <w:p>
      <w:pPr>
        <w:spacing w:before="0" w:after="120" w:line="276" w:lineRule="auto"/>
      </w:pPr>
      <w:r>
        <w:rPr>
          <w:rFonts w:ascii="DM Sans" w:hAnsi="DM Sans" w:cs="DM Sans"/>
          <w:b/>
          <w:i w:val="0"/>
          <w:color w:val="050C2A"/>
          <w:sz w:val="20"/>
          <w:u w:val="none"/>
        </w:rPr>
        <w:t>Manipulation check:</w:t>
      </w:r>
      <w:r>
        <w:rPr>
          <w:rFonts w:ascii="DM Sans" w:hAnsi="DM Sans" w:cs="DM Sans"/>
          <w:b w:val="0"/>
          <w:i w:val="0"/>
          <w:color w:val="050C2A"/>
          <w:sz w:val="20"/>
          <w:u w:val="none"/>
        </w:rPr>
        <w:t xml:space="preserve"> Students who rate themselves 4 on every dimension and all teammates 1 on every dimension are flagged for instructor review. Self-ratings with this pattern are excluded from calibration analysis.</w:t>
      </w:r>
    </w:p>
    <w:p>
      <w:pPr>
        <w:spacing w:before="0" w:after="120" w:line="276" w:lineRule="auto"/>
      </w:pPr>
      <w:r>
        <w:rPr>
          <w:rFonts w:ascii="DM Sans" w:hAnsi="DM Sans" w:cs="DM Sans"/>
          <w:b/>
          <w:i w:val="0"/>
          <w:color w:val="050C2A"/>
          <w:sz w:val="20"/>
          <w:u w:val="none"/>
        </w:rPr>
        <w:t>Bias monitoring:</w:t>
      </w:r>
      <w:r>
        <w:rPr>
          <w:rFonts w:ascii="DM Sans" w:hAnsi="DM Sans" w:cs="DM Sans"/>
          <w:b w:val="0"/>
          <w:i w:val="0"/>
          <w:color w:val="050C2A"/>
          <w:sz w:val="20"/>
          <w:u w:val="none"/>
        </w:rPr>
        <w:t xml:space="preserve"> The instructor reviews the data for patterns that may indicate bias — for example, a student consistently rated lower on one dimension by all teammates despite strong performance evidence in other data sources (checkpoint completion, deliverable quality, employer feedback).</w:t>
      </w:r>
    </w:p>
    <w:p>
      <w:pPr>
        <w:spacing w:before="0" w:after="120" w:line="276" w:lineRule="auto"/>
      </w:pPr>
      <w:r>
        <w:rPr>
          <w:rFonts w:ascii="DM Sans" w:hAnsi="DM Sans" w:cs="DM Sans"/>
          <w:b/>
          <w:i w:val="0"/>
          <w:color w:val="050C2A"/>
          <w:sz w:val="20"/>
          <w:u w:val="none"/>
        </w:rPr>
        <w:t>Conflict cluster detection:</w:t>
      </w:r>
      <w:r>
        <w:rPr>
          <w:rFonts w:ascii="DM Sans" w:hAnsi="DM Sans" w:cs="DM Sans"/>
          <w:b w:val="0"/>
          <w:i w:val="0"/>
          <w:color w:val="050C2A"/>
          <w:sz w:val="20"/>
          <w:u w:val="none"/>
        </w:rPr>
        <w:t xml:space="preserve"> Teams with a standard deviation &gt; 1.5 on any dimension indicate fundamental disagreement about what happened. This triggers instructor investigation — a conversation with the team to determine whether the ratings reflect reality, personal conflict, or coordinated behavior.</w:t>
      </w:r>
    </w:p>
    <w:p>
      <w:pPr>
        <w:spacing w:before="280" w:after="100"/>
      </w:pPr>
      <w:r>
        <w:rPr>
          <w:rFonts w:ascii="DM Sans" w:hAnsi="DM Sans" w:cs="DM Sans"/>
          <w:b/>
          <w:i w:val="0"/>
          <w:color w:val="050C2A"/>
          <w:sz w:val="28"/>
          <w:u w:val="none"/>
        </w:rPr>
        <w:t>Calibration Exercise (Week 8 Module)</w:t>
      </w:r>
    </w:p>
    <w:p>
      <w:pPr>
        <w:spacing w:before="0" w:after="120" w:line="276" w:lineRule="auto"/>
      </w:pPr>
      <w:r>
        <w:rPr>
          <w:rFonts w:ascii="DM Sans" w:hAnsi="DM Sans" w:cs="DM Sans"/>
          <w:b w:val="0"/>
          <w:i w:val="0"/>
          <w:color w:val="050C2A"/>
          <w:sz w:val="20"/>
          <w:u w:val="none"/>
        </w:rPr>
        <w:t>Before students complete their first peer evaluation, the Week 8 module includes a calibration exercise using a hypothetical scenario.</w:t>
      </w:r>
    </w:p>
    <w:p>
      <w:pPr>
        <w:spacing w:before="240" w:after="80"/>
      </w:pPr>
      <w:r>
        <w:rPr>
          <w:rFonts w:ascii="DM Sans" w:hAnsi="DM Sans" w:cs="DM Sans"/>
          <w:b/>
          <w:i w:val="0"/>
          <w:color w:val="050C2A"/>
          <w:sz w:val="24"/>
          <w:u w:val="none"/>
        </w:rPr>
        <w:t>The Scenario: Maple &amp; Main Credit Union</w:t>
      </w:r>
    </w:p>
    <w:p>
      <w:pPr>
        <w:spacing w:before="0" w:after="120" w:line="276" w:lineRule="auto"/>
      </w:pPr>
      <w:r>
        <w:rPr>
          <w:rFonts w:ascii="DM Sans" w:hAnsi="DM Sans" w:cs="DM Sans"/>
          <w:b w:val="0"/>
          <w:i w:val="0"/>
          <w:color w:val="050C2A"/>
          <w:sz w:val="20"/>
          <w:u w:val="none"/>
        </w:rPr>
        <w:t>Students read a brief profile of a fictional teammate working on the Maple &amp; Main project:</w:t>
      </w:r>
    </w:p>
    <w:p>
      <w:pPr>
        <w:pBdr>
          <w:left w:val="single" w:sz="18" w:space="8" w:color="FF7C0A"/>
        </w:pBdr>
        <w:ind w:left="720"/>
        <w:spacing w:before="120" w:after="120" w:line="276" w:lineRule="auto"/>
      </w:pPr>
      <w:r>
        <w:rPr>
          <w:rFonts w:ascii="DM Sans" w:hAnsi="DM Sans" w:cs="DM Sans"/>
          <w:b w:val="0"/>
          <w:i w:val="0"/>
          <w:color w:val="ACACAC"/>
          <w:sz w:val="20"/>
          <w:u w:val="none"/>
        </w:rPr>
        <w:t>"Jordan comes to all team meetings but often arrives 5–10 minutes late. During meetings, Jordan listens and occasionally asks clarifying questions but rarely proposes new ideas or directions. Jordan submitted their section of the Context Analysis on time, but teammates found several factual errors and unclear arguments that required significant editing. When the team raised these issues, Jordan said 'Sorry, I'll try harder next time' but did not ask what specifically needed to change. Jordan has been responsive on Slack — replying within a few hours to most messages."</w:t>
      </w:r>
    </w:p>
    <w:p>
      <w:pPr>
        <w:spacing w:before="240" w:after="80"/>
      </w:pPr>
      <w:r>
        <w:rPr>
          <w:rFonts w:ascii="DM Sans" w:hAnsi="DM Sans" w:cs="DM Sans"/>
          <w:b/>
          <w:i w:val="0"/>
          <w:color w:val="050C2A"/>
          <w:sz w:val="24"/>
          <w:u w:val="none"/>
        </w:rPr>
        <w:t>The Exercise</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val="0"/>
          <w:i w:val="0"/>
          <w:color w:val="050C2A"/>
          <w:sz w:val="20"/>
          <w:u w:val="none"/>
        </w:rPr>
        <w:t>Students rate Jordan on all four BARS dimensions individually</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val="0"/>
          <w:i w:val="0"/>
          <w:color w:val="050C2A"/>
          <w:sz w:val="20"/>
          <w:u w:val="none"/>
        </w:rPr>
        <w:t>The module reveals the range of ratings students typically give for this profile (based on pilot data or hypothetical distribution)</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val="0"/>
          <w:i w:val="0"/>
          <w:color w:val="050C2A"/>
          <w:sz w:val="20"/>
          <w:u w:val="none"/>
        </w:rPr>
        <w:t>A brief guided discussion walks through the "correct" calibrated rating for each dimension, referencing the behavioral anchors</w:t>
      </w:r>
    </w:p>
    <w:p>
      <w:pPr>
        <w:spacing w:before="0" w:after="120" w:line="276" w:lineRule="auto"/>
      </w:pPr>
      <w:r>
        <w:rPr>
          <w:rFonts w:ascii="DM Sans" w:hAnsi="DM Sans" w:cs="DM Sans"/>
          <w:b/>
          <w:i w:val="0"/>
          <w:color w:val="050C2A"/>
          <w:sz w:val="20"/>
          <w:u w:val="none"/>
        </w:rPr>
        <w:t>Expected calibration outcomes: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Reliability: 2 (inconsistently reliable — late to meetings, errors in work)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Contribution: 2 (under-contributing — work required significant revision)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Constructive Engagement: 2–3 (borderline — listens and asks questions, but doesn't propose ideas or engage substantively with feedback)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Accountability: 2 (deflects — "I'll try harder" without seeking specifics indicates surface-level accountability)</w:t>
      </w:r>
    </w:p>
    <w:p>
      <w:pPr>
        <w:spacing w:before="0" w:after="120" w:line="276" w:lineRule="auto"/>
      </w:pPr>
      <w:r>
        <w:rPr>
          <w:rFonts w:ascii="DM Sans" w:hAnsi="DM Sans" w:cs="DM Sans"/>
          <w:b w:val="0"/>
          <w:i w:val="0"/>
          <w:color w:val="050C2A"/>
          <w:sz w:val="20"/>
          <w:u w:val="none"/>
        </w:rPr>
        <w:t>The calibration exercise aligns student expectations with the BARS anchors before real evaluations are on the line. Research shows that this norming step significantly reduces rating variance and increases the validity of peer evaluation data.</w:t>
      </w:r>
    </w:p>
    <w:p>
      <w:pPr>
        <w:spacing w:before="280" w:after="100"/>
      </w:pPr>
      <w:r>
        <w:rPr>
          <w:rFonts w:ascii="DM Sans" w:hAnsi="DM Sans" w:cs="DM Sans"/>
          <w:b/>
          <w:i w:val="0"/>
          <w:color w:val="050C2A"/>
          <w:sz w:val="28"/>
          <w:u w:val="none"/>
        </w:rPr>
        <w:t>AI Guidance</w:t>
      </w:r>
    </w:p>
    <w:p>
      <w:pPr>
        <w:spacing w:before="0" w:after="120" w:line="276" w:lineRule="auto"/>
      </w:pPr>
      <w:r>
        <w:rPr>
          <w:rFonts w:ascii="DM Sans" w:hAnsi="DM Sans" w:cs="DM Sans"/>
          <w:b/>
          <w:i w:val="0"/>
          <w:color w:val="050C2A"/>
          <w:sz w:val="20"/>
          <w:u w:val="none"/>
        </w:rPr>
        <w:t>Permitted:</w:t>
      </w:r>
      <w:r>
        <w:rPr>
          <w:rFonts w:ascii="DM Sans" w:hAnsi="DM Sans" w:cs="DM Sans"/>
          <w:b w:val="0"/>
          <w:i w:val="0"/>
          <w:color w:val="050C2A"/>
          <w:sz w:val="20"/>
          <w:u w:val="none"/>
        </w:rPr>
        <w:t xml:space="preserve"> Students may use AI to help organize their thoughts before writing qualitative feedback — for example, asking AI to help them articulate a specific observation more clearly or to check whether their feedback is specific enough. Students may also use AI to review their own evidence statements for specificity and actionability.</w:t>
      </w:r>
    </w:p>
    <w:p>
      <w:pPr>
        <w:spacing w:before="0" w:after="120" w:line="276" w:lineRule="auto"/>
      </w:pPr>
      <w:r>
        <w:rPr>
          <w:rFonts w:ascii="DM Sans" w:hAnsi="DM Sans" w:cs="DM Sans"/>
          <w:b/>
          <w:i w:val="0"/>
          <w:color w:val="050C2A"/>
          <w:sz w:val="20"/>
          <w:u w:val="none"/>
        </w:rPr>
        <w:t>Off-limits:</w:t>
      </w:r>
      <w:r>
        <w:rPr>
          <w:rFonts w:ascii="DM Sans" w:hAnsi="DM Sans" w:cs="DM Sans"/>
          <w:b w:val="0"/>
          <w:i w:val="0"/>
          <w:color w:val="050C2A"/>
          <w:sz w:val="20"/>
          <w:u w:val="none"/>
        </w:rPr>
        <w:t xml:space="preserve"> AI cannot generate the evaluation itself. The qualitative feedback must reflect the evaluator's actual observations, and the ratings must reflect the evaluator's genuine assessment. AI-generated peer evaluations would defeat the purpose of the instrument — the learning happens in the act of evaluating, and the data must reflect real team dynamics, not plausible fabrications.</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Yes — on the Peer Evaluation submission. If AI was used to help draft or refine qualitative responses, this must be disclosed. If AI was not used, a one-sentence statement to that effect is sufficient.</w:t>
      </w:r>
    </w:p>
    <w:p>
      <w:pPr>
        <w:spacing w:before="280" w:after="100"/>
      </w:pPr>
      <w:r>
        <w:rPr>
          <w:rFonts w:ascii="DM Sans" w:hAnsi="DM Sans" w:cs="DM Sans"/>
          <w:b/>
          <w:i w:val="0"/>
          <w:color w:val="050C2A"/>
          <w:sz w:val="28"/>
          <w:u w:val="none"/>
        </w:rPr>
        <w:t>Instructional Support</w:t>
      </w:r>
    </w:p>
    <w:p>
      <w:pPr>
        <w:spacing w:before="240" w:after="80"/>
      </w:pPr>
      <w:r>
        <w:rPr>
          <w:rFonts w:ascii="DM Sans" w:hAnsi="DM Sans" w:cs="DM Sans"/>
          <w:b/>
          <w:i w:val="0"/>
          <w:color w:val="050C2A"/>
          <w:sz w:val="24"/>
          <w:u w:val="none"/>
        </w:rPr>
        <w:t>Week 8 Module Content</w:t>
      </w:r>
    </w:p>
    <w:p>
      <w:pPr>
        <w:spacing w:before="0" w:after="120" w:line="276" w:lineRule="auto"/>
      </w:pPr>
      <w:r>
        <w:rPr>
          <w:rFonts w:ascii="DM Sans" w:hAnsi="DM Sans" w:cs="DM Sans"/>
          <w:b w:val="0"/>
          <w:i w:val="0"/>
          <w:color w:val="050C2A"/>
          <w:sz w:val="20"/>
          <w:u w:val="none"/>
        </w:rPr>
        <w:t>Module 8.04 ("Writing Substantive Peer Evaluations") prepares students for the evaluation. Content includes: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distinction between vague ratings and actionable evidence (with examples)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Continue/Start/Adjust framework for qualitative feedback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BARS anchors and how to use them</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calibration exercise (Maple &amp; Main scenario)</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How to be honest without being destructive — focusing on behavior, not character</w:t>
      </w:r>
    </w:p>
    <w:p>
      <w:pPr>
        <w:spacing w:before="240" w:after="80"/>
      </w:pPr>
      <w:r>
        <w:rPr>
          <w:rFonts w:ascii="DM Sans" w:hAnsi="DM Sans" w:cs="DM Sans"/>
          <w:b/>
          <w:i w:val="0"/>
          <w:color w:val="050C2A"/>
          <w:sz w:val="24"/>
          <w:u w:val="none"/>
        </w:rPr>
        <w:t>Week 9 Module Content</w:t>
      </w:r>
    </w:p>
    <w:p>
      <w:pPr>
        <w:spacing w:before="0" w:after="120" w:line="276" w:lineRule="auto"/>
      </w:pPr>
      <w:r>
        <w:rPr>
          <w:rFonts w:ascii="DM Sans" w:hAnsi="DM Sans" w:cs="DM Sans"/>
          <w:b w:val="0"/>
          <w:i w:val="0"/>
          <w:color w:val="050C2A"/>
          <w:sz w:val="20"/>
          <w:u w:val="none"/>
        </w:rPr>
        <w:t>Module content on "Having the Peer Evaluation Conversation" prepares students for the Team Processing Session. Content includes: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How to receive feedback without defensiveness (reinforces Week 7 protocol)</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How to discuss feedback as a team without it becoming personal</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How to move from feedback to specific behavioral agreements</w:t>
      </w:r>
    </w:p>
    <w:p>
      <w:pPr>
        <w:spacing w:before="280" w:after="100"/>
      </w:pPr>
      <w:r>
        <w:rPr>
          <w:rFonts w:ascii="DM Sans" w:hAnsi="DM Sans" w:cs="DM Sans"/>
          <w:b/>
          <w:i w:val="0"/>
          <w:color w:val="050C2A"/>
          <w:sz w:val="28"/>
          <w:u w:val="none"/>
        </w:rPr>
        <w:t>Related Documents</w:t>
      </w:r>
    </w:p>
    <w:p>
      <w:pPr>
        <w:spacing w:before="0" w:after="120" w:line="276" w:lineRule="auto"/>
      </w:pPr>
      <w:r>
        <w:rPr>
          <w:rFonts w:ascii="DM Sans" w:hAnsi="DM Sans" w:cs="DM Sans"/>
          <w:b/>
          <w:i w:val="0"/>
          <w:color w:val="050C2A"/>
          <w:sz w:val="20"/>
          <w:u w:val="none"/>
        </w:rPr>
        <w:t>Professional Engagement Mechanics:</w:t>
      </w:r>
      <w:r>
        <w:rPr>
          <w:rFonts w:ascii="DM Sans" w:hAnsi="DM Sans" w:cs="DM Sans"/>
          <w:b w:val="0"/>
          <w:i w:val="0"/>
          <w:color w:val="050C2A"/>
          <w:sz w:val="20"/>
          <w:u w:val="none"/>
        </w:rPr>
        <w:t xml:space="preserve"> Full scoring mechanics for the Professional Engagement component (20% of final grade), including how peer evaluation (50%), employer feedback (25%), and instructor observation (25%) combine.</w:t>
      </w:r>
    </w:p>
    <w:p>
      <w:pPr>
        <w:spacing w:before="0" w:after="120" w:line="276" w:lineRule="auto"/>
      </w:pPr>
      <w:r>
        <w:rPr>
          <w:rFonts w:ascii="DM Sans" w:hAnsi="DM Sans" w:cs="DM Sans"/>
          <w:b/>
          <w:i w:val="0"/>
          <w:color w:val="050C2A"/>
          <w:sz w:val="20"/>
          <w:u w:val="none"/>
        </w:rPr>
        <w:t>Competency Framework:</w:t>
      </w:r>
      <w:r>
        <w:rPr>
          <w:rFonts w:ascii="DM Sans" w:hAnsi="DM Sans" w:cs="DM Sans"/>
          <w:b w:val="0"/>
          <w:i w:val="0"/>
          <w:color w:val="050C2A"/>
          <w:sz w:val="20"/>
          <w:u w:val="none"/>
        </w:rPr>
        <w:t xml:space="preserve"> Defines the Teamwork competency and its four subskills that the peer evaluation dimensions assess.</w:t>
      </w:r>
    </w:p>
    <w:p>
      <w:pPr>
        <w:spacing w:before="0" w:after="120" w:line="276" w:lineRule="auto"/>
      </w:pPr>
      <w:r>
        <w:rPr>
          <w:rFonts w:ascii="DM Sans" w:hAnsi="DM Sans" w:cs="DM Sans"/>
          <w:b/>
          <w:i w:val="0"/>
          <w:color w:val="050C2A"/>
          <w:sz w:val="20"/>
          <w:u w:val="none"/>
        </w:rPr>
        <w:t>Assessment Strategy:</w:t>
      </w:r>
      <w:r>
        <w:rPr>
          <w:rFonts w:ascii="DM Sans" w:hAnsi="DM Sans" w:cs="DM Sans"/>
          <w:b w:val="0"/>
          <w:i w:val="0"/>
          <w:color w:val="050C2A"/>
          <w:sz w:val="20"/>
          <w:u w:val="none"/>
        </w:rPr>
        <w:t xml:space="preserve"> Evidence architecture and grading weights for the full course.</w:t>
      </w:r>
    </w:p>
    <w:p>
      <w:pPr>
        <w:spacing w:before="0" w:after="120" w:line="276" w:lineRule="auto"/>
      </w:pPr>
      <w:r>
        <w:rPr>
          <w:rFonts w:ascii="DM Sans" w:hAnsi="DM Sans" w:cs="DM Sans"/>
          <w:b/>
          <w:i w:val="0"/>
          <w:color w:val="050C2A"/>
          <w:sz w:val="20"/>
          <w:u w:val="none"/>
        </w:rPr>
        <w:t>Week 8 Design Doc:</w:t>
      </w:r>
      <w:r>
        <w:rPr>
          <w:rFonts w:ascii="DM Sans" w:hAnsi="DM Sans" w:cs="DM Sans"/>
          <w:b w:val="0"/>
          <w:i w:val="0"/>
          <w:color w:val="050C2A"/>
          <w:sz w:val="20"/>
          <w:u w:val="none"/>
        </w:rPr>
        <w:t xml:space="preserve"> Activity breakdown for the week when Peer Evaluation #1 is due.</w:t>
      </w:r>
    </w:p>
    <w:p>
      <w:pPr>
        <w:spacing w:before="0" w:after="120" w:line="276" w:lineRule="auto"/>
      </w:pPr>
      <w:r>
        <w:rPr>
          <w:rFonts w:ascii="DM Sans" w:hAnsi="DM Sans" w:cs="DM Sans"/>
          <w:b/>
          <w:i w:val="0"/>
          <w:color w:val="050C2A"/>
          <w:sz w:val="20"/>
          <w:u w:val="none"/>
        </w:rPr>
        <w:t>Week 15 Design Doc:</w:t>
      </w:r>
      <w:r>
        <w:rPr>
          <w:rFonts w:ascii="DM Sans" w:hAnsi="DM Sans" w:cs="DM Sans"/>
          <w:b w:val="0"/>
          <w:i w:val="0"/>
          <w:color w:val="050C2A"/>
          <w:sz w:val="20"/>
          <w:u w:val="none"/>
        </w:rPr>
        <w:t xml:space="preserve"> Activity breakdown for the week when Peer Evaluation #2 is due.</w:t>
      </w:r>
    </w:p>
    <w:p>
      <w:pPr>
        <w:spacing w:before="0" w:after="120" w:line="276" w:lineRule="auto"/>
      </w:pPr>
      <w:r>
        <w:rPr>
          <w:rFonts w:ascii="DM Sans" w:hAnsi="DM Sans" w:cs="DM Sans"/>
          <w:b/>
          <w:i w:val="0"/>
          <w:color w:val="050C2A"/>
          <w:sz w:val="20"/>
          <w:u w:val="none"/>
        </w:rPr>
        <w:t>Reflection Portfolio Framework:</w:t>
      </w:r>
      <w:r>
        <w:rPr>
          <w:rFonts w:ascii="DM Sans" w:hAnsi="DM Sans" w:cs="DM Sans"/>
          <w:b w:val="0"/>
          <w:i w:val="0"/>
          <w:color w:val="050C2A"/>
          <w:sz w:val="20"/>
          <w:u w:val="none"/>
        </w:rPr>
        <w:t xml:space="preserve"> Reflection #3 (Week 9) connects to peer evaluation feedback as a prompt for self-examination.</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