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pPr>
      <w:r>
        <w:rPr>
          <w:rFonts w:ascii="DM Sans" w:hAnsi="DM Sans" w:cs="DM Sans"/>
          <w:b/>
          <w:i w:val="0"/>
          <w:color w:val="FF7C0A"/>
          <w:sz w:val="34"/>
          <w:u w:val="none"/>
        </w:rPr>
        <w:t>Riipen Experience: Assessment Strategy</w:t>
      </w:r>
    </w:p>
    <w:p>
      <w:pPr>
        <w:spacing w:before="0" w:after="120" w:line="276" w:lineRule="auto"/>
      </w:pPr>
      <w:r>
        <w:rPr>
          <w:rFonts w:ascii="DM Sans" w:hAnsi="DM Sans" w:cs="DM Sans"/>
          <w:b w:val="0"/>
          <w:i/>
          <w:color w:val="050C2A"/>
          <w:sz w:val="20"/>
          <w:u w:val="none"/>
        </w:rPr>
        <w:t>How we generate credible evidence of learning</w:t>
      </w:r>
    </w:p>
    <w:p>
      <w:pPr>
        <w:spacing w:before="0" w:after="120" w:line="276" w:lineRule="auto"/>
      </w:pPr>
      <w:r>
        <w:rPr>
          <w:rFonts w:ascii="DM Sans" w:hAnsi="DM Sans" w:cs="DM Sans"/>
          <w:b w:val="0"/>
          <w:i/>
          <w:color w:val="050C2A"/>
          <w:sz w:val="20"/>
          <w:u w:val="none"/>
        </w:rPr>
        <w:t>Updated March 2026</w:t>
      </w:r>
    </w:p>
    <w:p>
      <w:pPr>
        <w:pBdr>
          <w:bottom w:val="single" w:sz="6" w:space="1" w:color="ACACAC"/>
        </w:pBdr>
        <w:spacing w:before="120" w:after="120"/>
      </w:pPr>
    </w:p>
    <w:p>
      <w:pPr>
        <w:spacing w:before="280" w:after="100"/>
      </w:pPr>
      <w:r>
        <w:rPr>
          <w:rFonts w:ascii="DM Sans" w:hAnsi="DM Sans" w:cs="DM Sans"/>
          <w:b/>
          <w:i w:val="0"/>
          <w:color w:val="050C2A"/>
          <w:sz w:val="28"/>
          <w:u w:val="none"/>
        </w:rPr>
        <w:t>Overview</w:t>
      </w:r>
    </w:p>
    <w:p>
      <w:pPr>
        <w:spacing w:before="0" w:after="120" w:line="276" w:lineRule="auto"/>
      </w:pPr>
      <w:r>
        <w:rPr>
          <w:rFonts w:ascii="DM Sans" w:hAnsi="DM Sans" w:cs="DM Sans"/>
          <w:b w:val="0"/>
          <w:i w:val="0"/>
          <w:color w:val="050C2A"/>
          <w:sz w:val="20"/>
          <w:u w:val="none"/>
        </w:rPr>
        <w:t>Assessment in Riipen Experience serves two purposes: supporting learning as it happens (formative) and certifying what students learned at the end (summative). These purposes require different approaches, and our assessment strategy balances both.</w:t>
      </w:r>
    </w:p>
    <w:p>
      <w:pPr>
        <w:spacing w:before="0" w:after="120" w:line="276" w:lineRule="auto"/>
      </w:pPr>
      <w:r>
        <w:rPr>
          <w:rFonts w:ascii="DM Sans" w:hAnsi="DM Sans" w:cs="DM Sans"/>
          <w:b/>
          <w:i w:val="0"/>
          <w:color w:val="050C2A"/>
          <w:sz w:val="20"/>
          <w:u w:val="none"/>
        </w:rPr>
        <w:t>Formative assessment</w:t>
      </w:r>
      <w:r>
        <w:rPr>
          <w:rFonts w:ascii="DM Sans" w:hAnsi="DM Sans" w:cs="DM Sans"/>
          <w:b w:val="0"/>
          <w:i w:val="0"/>
          <w:color w:val="050C2A"/>
          <w:sz w:val="20"/>
          <w:u w:val="none"/>
        </w:rPr>
        <w:t xml:space="preserve"> happens throughout the course. Checkpoints, employer feedback, peer input, and instructor comments help students understand how they're doing and where to improve. The goal is learning, not grading.</w:t>
      </w:r>
    </w:p>
    <w:p>
      <w:pPr>
        <w:spacing w:before="0" w:after="120" w:line="276" w:lineRule="auto"/>
      </w:pPr>
      <w:r>
        <w:rPr>
          <w:rFonts w:ascii="DM Sans" w:hAnsi="DM Sans" w:cs="DM Sans"/>
          <w:b/>
          <w:i w:val="0"/>
          <w:color w:val="050C2A"/>
          <w:sz w:val="20"/>
          <w:u w:val="none"/>
        </w:rPr>
        <w:t>Summative assessment</w:t>
      </w:r>
      <w:r>
        <w:rPr>
          <w:rFonts w:ascii="DM Sans" w:hAnsi="DM Sans" w:cs="DM Sans"/>
          <w:b w:val="0"/>
          <w:i w:val="0"/>
          <w:color w:val="050C2A"/>
          <w:sz w:val="20"/>
          <w:u w:val="none"/>
        </w:rPr>
        <w:t xml:space="preserve"> happens at defined points. Graded deliverables, scored reflections, and final evaluations generate the evidence that supports a course grade. The goal is documenting what students learned.</w:t>
      </w:r>
    </w:p>
    <w:p>
      <w:pPr>
        <w:spacing w:before="0" w:after="120" w:line="276" w:lineRule="auto"/>
      </w:pPr>
      <w:r>
        <w:rPr>
          <w:rFonts w:ascii="DM Sans" w:hAnsi="DM Sans" w:cs="DM Sans"/>
          <w:b w:val="0"/>
          <w:i w:val="0"/>
          <w:color w:val="050C2A"/>
          <w:sz w:val="20"/>
          <w:u w:val="none"/>
        </w:rPr>
        <w:t>The assessment strategy reflects two principles from the Design Principles document: multiple evidence sources enable credible assessment, and layered accountability ensures meaningful engagement. No single source tells the whole story. By triangulating across deliverables, reflections, professional behaviors, and presentation, we build a defensible picture of student learning.</w:t>
      </w:r>
    </w:p>
    <w:p>
      <w:pPr>
        <w:spacing w:before="280" w:after="100"/>
      </w:pPr>
      <w:r>
        <w:rPr>
          <w:rFonts w:ascii="DM Sans" w:hAnsi="DM Sans" w:cs="DM Sans"/>
          <w:b/>
          <w:i w:val="0"/>
          <w:color w:val="050C2A"/>
          <w:sz w:val="28"/>
          <w:u w:val="none"/>
        </w:rPr>
        <w:t>Evidence Architecture</w:t>
      </w:r>
    </w:p>
    <w:p>
      <w:pPr>
        <w:spacing w:before="0" w:after="120" w:line="276" w:lineRule="auto"/>
      </w:pPr>
      <w:r>
        <w:rPr>
          <w:rFonts w:ascii="DM Sans" w:hAnsi="DM Sans" w:cs="DM Sans"/>
          <w:b w:val="0"/>
          <w:i w:val="0"/>
          <w:color w:val="050C2A"/>
          <w:sz w:val="20"/>
          <w:u w:val="none"/>
        </w:rPr>
        <w:t>Four distinct evidence types contribute to the final grade, each capturing different aspects of learning:</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3004"/>
            <w:shd w:fill="FF7C0A" w:val="clear"/>
            <w:vAlign w:val="center"/>
          </w:tcPr>
          <w:p>
            <w:pPr>
              <w:jc w:val="left"/>
              <w:spacing w:before="40" w:after="40"/>
            </w:pPr>
            <w:r>
              <w:rPr>
                <w:rFonts w:ascii="DM Sans" w:hAnsi="DM Sans" w:cs="DM Sans"/>
                <w:b/>
                <w:i w:val="0"/>
                <w:color w:val="FFFFFF"/>
                <w:sz w:val="20"/>
                <w:u w:val="none"/>
              </w:rPr>
              <w:t>Evidence Type</w:t>
            </w:r>
          </w:p>
        </w:tc>
        <w:tc>
          <w:tcPr>
            <w:tcW w:type="dxa" w:w="1416"/>
            <w:shd w:fill="FF7C0A" w:val="clear"/>
            <w:vAlign w:val="center"/>
          </w:tcPr>
          <w:p>
            <w:pPr>
              <w:jc w:val="left"/>
              <w:spacing w:before="40" w:after="40"/>
            </w:pPr>
            <w:r>
              <w:rPr>
                <w:rFonts w:ascii="DM Sans" w:hAnsi="DM Sans" w:cs="DM Sans"/>
                <w:b/>
                <w:i w:val="0"/>
                <w:color w:val="FFFFFF"/>
                <w:sz w:val="20"/>
                <w:u w:val="none"/>
              </w:rPr>
              <w:t>Weight</w:t>
            </w:r>
          </w:p>
        </w:tc>
        <w:tc>
          <w:tcPr>
            <w:tcW w:type="dxa" w:w="4940"/>
            <w:shd w:fill="FF7C0A" w:val="clear"/>
            <w:vAlign w:val="center"/>
          </w:tcPr>
          <w:p>
            <w:pPr>
              <w:jc w:val="left"/>
              <w:spacing w:before="40" w:after="40"/>
            </w:pPr>
            <w:r>
              <w:rPr>
                <w:rFonts w:ascii="DM Sans" w:hAnsi="DM Sans" w:cs="DM Sans"/>
                <w:b/>
                <w:i w:val="0"/>
                <w:color w:val="FFFFFF"/>
                <w:sz w:val="20"/>
                <w:u w:val="none"/>
              </w:rPr>
              <w:t>What It Demonstrates</w:t>
            </w:r>
          </w:p>
        </w:tc>
      </w:tr>
      <w:tr>
        <w:tc>
          <w:tcPr>
            <w:tcW w:type="dxa" w:w="3004"/>
            <w:vAlign w:val="center"/>
          </w:tcPr>
          <w:p>
            <w:pPr>
              <w:spacing w:before="30" w:after="30"/>
            </w:pPr>
            <w:r>
              <w:rPr>
                <w:rFonts w:ascii="DM Sans" w:hAnsi="DM Sans" w:cs="DM Sans"/>
                <w:b/>
                <w:i w:val="0"/>
                <w:color w:val="050C2A"/>
                <w:sz w:val="20"/>
                <w:u w:val="none"/>
              </w:rPr>
              <w:t>Project Deliverables</w:t>
            </w:r>
          </w:p>
        </w:tc>
        <w:tc>
          <w:tcPr>
            <w:tcW w:type="dxa" w:w="1416"/>
            <w:vAlign w:val="center"/>
          </w:tcPr>
          <w:p>
            <w:pPr>
              <w:spacing w:before="30" w:after="30"/>
            </w:pPr>
            <w:r>
              <w:rPr>
                <w:rFonts w:ascii="DM Sans" w:hAnsi="DM Sans" w:cs="DM Sans"/>
                <w:b w:val="0"/>
                <w:i w:val="0"/>
                <w:color w:val="050C2A"/>
                <w:sz w:val="20"/>
                <w:u w:val="none"/>
              </w:rPr>
              <w:t>40%</w:t>
            </w:r>
          </w:p>
        </w:tc>
        <w:tc>
          <w:tcPr>
            <w:tcW w:type="dxa" w:w="4940"/>
            <w:vAlign w:val="center"/>
          </w:tcPr>
          <w:p>
            <w:pPr>
              <w:spacing w:before="30" w:after="30"/>
            </w:pPr>
            <w:r>
              <w:rPr>
                <w:rFonts w:ascii="DM Sans" w:hAnsi="DM Sans" w:cs="DM Sans"/>
                <w:b w:val="0"/>
                <w:i w:val="0"/>
                <w:color w:val="050C2A"/>
                <w:sz w:val="20"/>
                <w:u w:val="none"/>
              </w:rPr>
              <w:t>Applied skill, work quality, ability to produce professional output</w:t>
            </w:r>
          </w:p>
        </w:tc>
      </w:tr>
      <w:tr>
        <w:tc>
          <w:tcPr>
            <w:tcW w:type="dxa" w:w="3004"/>
            <w:shd w:fill="F5F5F5" w:val="clear"/>
            <w:vAlign w:val="center"/>
          </w:tcPr>
          <w:p>
            <w:pPr>
              <w:spacing w:before="30" w:after="30"/>
            </w:pPr>
            <w:r>
              <w:rPr>
                <w:rFonts w:ascii="DM Sans" w:hAnsi="DM Sans" w:cs="DM Sans"/>
                <w:b/>
                <w:i w:val="0"/>
                <w:color w:val="050C2A"/>
                <w:sz w:val="20"/>
                <w:u w:val="none"/>
              </w:rPr>
              <w:t>Reflection Portfolio</w:t>
            </w:r>
          </w:p>
        </w:tc>
        <w:tc>
          <w:tcPr>
            <w:tcW w:type="dxa" w:w="1416"/>
            <w:shd w:fill="F5F5F5" w:val="clear"/>
            <w:vAlign w:val="center"/>
          </w:tcPr>
          <w:p>
            <w:pPr>
              <w:spacing w:before="30" w:after="30"/>
            </w:pPr>
            <w:r>
              <w:rPr>
                <w:rFonts w:ascii="DM Sans" w:hAnsi="DM Sans" w:cs="DM Sans"/>
                <w:b w:val="0"/>
                <w:i w:val="0"/>
                <w:color w:val="050C2A"/>
                <w:sz w:val="20"/>
                <w:u w:val="none"/>
              </w:rPr>
              <w:t>25%</w:t>
            </w:r>
          </w:p>
        </w:tc>
        <w:tc>
          <w:tcPr>
            <w:tcW w:type="dxa" w:w="4940"/>
            <w:shd w:fill="F5F5F5" w:val="clear"/>
            <w:vAlign w:val="center"/>
          </w:tcPr>
          <w:p>
            <w:pPr>
              <w:spacing w:before="30" w:after="30"/>
            </w:pPr>
            <w:r>
              <w:rPr>
                <w:rFonts w:ascii="DM Sans" w:hAnsi="DM Sans" w:cs="DM Sans"/>
                <w:b w:val="0"/>
                <w:i w:val="0"/>
                <w:color w:val="050C2A"/>
                <w:sz w:val="20"/>
                <w:u w:val="none"/>
              </w:rPr>
              <w:t>Learning process, self-awareness, ability to extract transferable insight</w:t>
            </w:r>
          </w:p>
        </w:tc>
      </w:tr>
      <w:tr>
        <w:tc>
          <w:tcPr>
            <w:tcW w:type="dxa" w:w="3004"/>
            <w:vAlign w:val="center"/>
          </w:tcPr>
          <w:p>
            <w:pPr>
              <w:spacing w:before="30" w:after="30"/>
            </w:pPr>
            <w:r>
              <w:rPr>
                <w:rFonts w:ascii="DM Sans" w:hAnsi="DM Sans" w:cs="DM Sans"/>
                <w:b/>
                <w:i w:val="0"/>
                <w:color w:val="050C2A"/>
                <w:sz w:val="20"/>
                <w:u w:val="none"/>
              </w:rPr>
              <w:t>Professional Engagement</w:t>
            </w:r>
          </w:p>
        </w:tc>
        <w:tc>
          <w:tcPr>
            <w:tcW w:type="dxa" w:w="1416"/>
            <w:vAlign w:val="center"/>
          </w:tcPr>
          <w:p>
            <w:pPr>
              <w:spacing w:before="30" w:after="30"/>
            </w:pPr>
            <w:r>
              <w:rPr>
                <w:rFonts w:ascii="DM Sans" w:hAnsi="DM Sans" w:cs="DM Sans"/>
                <w:b w:val="0"/>
                <w:i w:val="0"/>
                <w:color w:val="050C2A"/>
                <w:sz w:val="20"/>
                <w:u w:val="none"/>
              </w:rPr>
              <w:t>20%</w:t>
            </w:r>
          </w:p>
        </w:tc>
        <w:tc>
          <w:tcPr>
            <w:tcW w:type="dxa" w:w="4940"/>
            <w:vAlign w:val="center"/>
          </w:tcPr>
          <w:p>
            <w:pPr>
              <w:spacing w:before="30" w:after="30"/>
            </w:pPr>
            <w:r>
              <w:rPr>
                <w:rFonts w:ascii="DM Sans" w:hAnsi="DM Sans" w:cs="DM Sans"/>
                <w:b w:val="0"/>
                <w:i w:val="0"/>
                <w:color w:val="050C2A"/>
                <w:sz w:val="20"/>
                <w:u w:val="none"/>
              </w:rPr>
              <w:t>Workplace behaviors, reliability, collaboration, responsiveness</w:t>
            </w:r>
          </w:p>
        </w:tc>
      </w:tr>
      <w:tr>
        <w:tc>
          <w:tcPr>
            <w:tcW w:type="dxa" w:w="3004"/>
            <w:shd w:fill="F5F5F5" w:val="clear"/>
            <w:vAlign w:val="center"/>
          </w:tcPr>
          <w:p>
            <w:pPr>
              <w:spacing w:before="30" w:after="30"/>
            </w:pPr>
            <w:r>
              <w:rPr>
                <w:rFonts w:ascii="DM Sans" w:hAnsi="DM Sans" w:cs="DM Sans"/>
                <w:b/>
                <w:i w:val="0"/>
                <w:color w:val="050C2A"/>
                <w:sz w:val="20"/>
                <w:u w:val="none"/>
              </w:rPr>
              <w:t>Final Presentation</w:t>
            </w:r>
          </w:p>
        </w:tc>
        <w:tc>
          <w:tcPr>
            <w:tcW w:type="dxa" w:w="1416"/>
            <w:shd w:fill="F5F5F5" w:val="clear"/>
            <w:vAlign w:val="center"/>
          </w:tcPr>
          <w:p>
            <w:pPr>
              <w:spacing w:before="30" w:after="30"/>
            </w:pPr>
            <w:r>
              <w:rPr>
                <w:rFonts w:ascii="DM Sans" w:hAnsi="DM Sans" w:cs="DM Sans"/>
                <w:b w:val="0"/>
                <w:i w:val="0"/>
                <w:color w:val="050C2A"/>
                <w:sz w:val="20"/>
                <w:u w:val="none"/>
              </w:rPr>
              <w:t>15%</w:t>
            </w:r>
          </w:p>
        </w:tc>
        <w:tc>
          <w:tcPr>
            <w:tcW w:type="dxa" w:w="4940"/>
            <w:shd w:fill="F5F5F5" w:val="clear"/>
            <w:vAlign w:val="center"/>
          </w:tcPr>
          <w:p>
            <w:pPr>
              <w:spacing w:before="30" w:after="30"/>
            </w:pPr>
            <w:r>
              <w:rPr>
                <w:rFonts w:ascii="DM Sans" w:hAnsi="DM Sans" w:cs="DM Sans"/>
                <w:b w:val="0"/>
                <w:i w:val="0"/>
                <w:color w:val="050C2A"/>
                <w:sz w:val="20"/>
                <w:u w:val="none"/>
              </w:rPr>
              <w:t>Synthesis, communication, ability to present work to external audience</w:t>
            </w:r>
          </w:p>
        </w:tc>
      </w:tr>
    </w:tbl>
    <w:p>
      <w:pPr>
        <w:spacing w:before="0" w:after="120"/>
      </w:pPr>
    </w:p>
    <w:p>
      <w:pPr>
        <w:spacing w:before="280" w:after="100"/>
      </w:pPr>
      <w:r>
        <w:rPr>
          <w:rFonts w:ascii="DM Sans" w:hAnsi="DM Sans" w:cs="DM Sans"/>
          <w:b/>
          <w:i w:val="0"/>
          <w:color w:val="050C2A"/>
          <w:sz w:val="28"/>
          <w:u w:val="none"/>
        </w:rPr>
        <w:t>Rationale for the Weights</w:t>
      </w:r>
    </w:p>
    <w:p>
      <w:pPr>
        <w:spacing w:before="0" w:after="120" w:line="276" w:lineRule="auto"/>
      </w:pPr>
      <w:r>
        <w:rPr>
          <w:rFonts w:ascii="DM Sans" w:hAnsi="DM Sans" w:cs="DM Sans"/>
          <w:b/>
          <w:i w:val="0"/>
          <w:color w:val="050C2A"/>
          <w:sz w:val="20"/>
          <w:u w:val="none"/>
        </w:rPr>
        <w:t>Why not weight deliverables higher?</w:t>
      </w:r>
      <w:r>
        <w:rPr>
          <w:rFonts w:ascii="DM Sans" w:hAnsi="DM Sans" w:cs="DM Sans"/>
          <w:b w:val="0"/>
          <w:i w:val="0"/>
          <w:color w:val="050C2A"/>
          <w:sz w:val="20"/>
          <w:u w:val="none"/>
        </w:rPr>
        <w:t xml:space="preserve"> Project deliverables are the most visible output, but they don't tell the whole story. A strong deliverable might reflect prior skills rather than learning during the course. A student might contribute little while teammates carry the work. At 40%, deliverables matter significantly but don't dominate.</w:t>
      </w:r>
    </w:p>
    <w:p>
      <w:pPr>
        <w:spacing w:before="0" w:after="120" w:line="276" w:lineRule="auto"/>
      </w:pPr>
      <w:r>
        <w:rPr>
          <w:rFonts w:ascii="DM Sans" w:hAnsi="DM Sans" w:cs="DM Sans"/>
          <w:b/>
          <w:i w:val="0"/>
          <w:color w:val="050C2A"/>
          <w:sz w:val="20"/>
          <w:u w:val="none"/>
        </w:rPr>
        <w:t>Why weight reflections at 25%?</w:t>
      </w:r>
      <w:r>
        <w:rPr>
          <w:rFonts w:ascii="DM Sans" w:hAnsi="DM Sans" w:cs="DM Sans"/>
          <w:b w:val="0"/>
          <w:i w:val="0"/>
          <w:color w:val="050C2A"/>
          <w:sz w:val="20"/>
          <w:u w:val="none"/>
        </w:rPr>
        <w:t xml:space="preserve"> Reflection is where learning becomes visible. Students who can articulate what they learned, examine their decisions critically, and identify transferable principles demonstrate deeper learning than those who simply completed tasks. Weighting reflection significantly signals that the learning process matters, not just the product.</w:t>
      </w:r>
    </w:p>
    <w:p>
      <w:pPr>
        <w:spacing w:before="0" w:after="120" w:line="276" w:lineRule="auto"/>
      </w:pPr>
      <w:r>
        <w:rPr>
          <w:rFonts w:ascii="DM Sans" w:hAnsi="DM Sans" w:cs="DM Sans"/>
          <w:b/>
          <w:i w:val="0"/>
          <w:color w:val="050C2A"/>
          <w:sz w:val="20"/>
          <w:u w:val="none"/>
        </w:rPr>
        <w:t>Why include professional engagement?</w:t>
      </w:r>
      <w:r>
        <w:rPr>
          <w:rFonts w:ascii="DM Sans" w:hAnsi="DM Sans" w:cs="DM Sans"/>
          <w:b w:val="0"/>
          <w:i w:val="0"/>
          <w:color w:val="050C2A"/>
          <w:sz w:val="20"/>
          <w:u w:val="none"/>
        </w:rPr>
        <w:t xml:space="preserve"> Experiential learning develops professional competencies — reliability, communication, collaboration — that don't show up in deliverables alone. Professional engagement captures how students work, not just what they produce. It's also where individual contribution becomes visible within team context.</w:t>
      </w:r>
    </w:p>
    <w:p>
      <w:pPr>
        <w:spacing w:before="0" w:after="120" w:line="276" w:lineRule="auto"/>
      </w:pPr>
      <w:r>
        <w:rPr>
          <w:rFonts w:ascii="DM Sans" w:hAnsi="DM Sans" w:cs="DM Sans"/>
          <w:b/>
          <w:i w:val="0"/>
          <w:color w:val="050C2A"/>
          <w:sz w:val="20"/>
          <w:u w:val="none"/>
        </w:rPr>
        <w:t>Why is presentation weighted lowest?</w:t>
      </w:r>
      <w:r>
        <w:rPr>
          <w:rFonts w:ascii="DM Sans" w:hAnsi="DM Sans" w:cs="DM Sans"/>
          <w:b w:val="0"/>
          <w:i w:val="0"/>
          <w:color w:val="050C2A"/>
          <w:sz w:val="20"/>
          <w:u w:val="none"/>
        </w:rPr>
        <w:t xml:space="preserve"> The presentation is important — it's a professional skill and provides closure with the employer. But it's a single performance that may not reflect overall learning. Students who struggle with public speaking shouldn't have their grade dominated by one event. At 15%, it matters without overwhelming.</w:t>
      </w:r>
    </w:p>
    <w:p>
      <w:pPr>
        <w:spacing w:before="280" w:after="100"/>
      </w:pPr>
      <w:r>
        <w:rPr>
          <w:rFonts w:ascii="DM Sans" w:hAnsi="DM Sans" w:cs="DM Sans"/>
          <w:b/>
          <w:i w:val="0"/>
          <w:color w:val="050C2A"/>
          <w:sz w:val="28"/>
          <w:u w:val="none"/>
        </w:rPr>
        <w:t>Graded Deliverables vs. Checkpoints</w:t>
      </w:r>
    </w:p>
    <w:p>
      <w:pPr>
        <w:spacing w:before="0" w:after="120" w:line="276" w:lineRule="auto"/>
      </w:pPr>
      <w:r>
        <w:rPr>
          <w:rFonts w:ascii="DM Sans" w:hAnsi="DM Sans" w:cs="DM Sans"/>
          <w:b w:val="0"/>
          <w:i w:val="0"/>
          <w:color w:val="050C2A"/>
          <w:sz w:val="20"/>
          <w:u w:val="none"/>
        </w:rPr>
        <w:t>Not everything students submit is graded. The course distinguishes between graded deliverables and checkpoints.</w:t>
      </w:r>
    </w:p>
    <w:p>
      <w:pPr>
        <w:spacing w:before="0" w:after="120" w:line="276" w:lineRule="auto"/>
      </w:pPr>
      <w:r>
        <w:rPr>
          <w:rFonts w:ascii="DM Sans" w:hAnsi="DM Sans" w:cs="DM Sans"/>
          <w:b/>
          <w:i w:val="0"/>
          <w:color w:val="050C2A"/>
          <w:sz w:val="20"/>
          <w:u w:val="none"/>
        </w:rPr>
        <w:t>Graded deliverables</w:t>
      </w:r>
      <w:r>
        <w:rPr>
          <w:rFonts w:ascii="DM Sans" w:hAnsi="DM Sans" w:cs="DM Sans"/>
          <w:b w:val="0"/>
          <w:i w:val="0"/>
          <w:color w:val="050C2A"/>
          <w:sz w:val="20"/>
          <w:u w:val="none"/>
        </w:rPr>
        <w:t xml:space="preserve"> are formally assessed against rubrics and contribute to the final grade. They represent summative evidence of learning at key points in the course.</w:t>
      </w:r>
    </w:p>
    <w:p>
      <w:pPr>
        <w:spacing w:before="0" w:after="120" w:line="276" w:lineRule="auto"/>
      </w:pPr>
      <w:r>
        <w:rPr>
          <w:rFonts w:ascii="DM Sans" w:hAnsi="DM Sans" w:cs="DM Sans"/>
          <w:b/>
          <w:i w:val="0"/>
          <w:color w:val="050C2A"/>
          <w:sz w:val="20"/>
          <w:u w:val="none"/>
        </w:rPr>
        <w:t>Checkpoints</w:t>
      </w:r>
      <w:r>
        <w:rPr>
          <w:rFonts w:ascii="DM Sans" w:hAnsi="DM Sans" w:cs="DM Sans"/>
          <w:b w:val="0"/>
          <w:i w:val="0"/>
          <w:color w:val="050C2A"/>
          <w:sz w:val="20"/>
          <w:u w:val="none"/>
        </w:rPr>
        <w:t xml:space="preserve"> are required submissions that provide structure and formative feedback but are assessed only for completion, not quality. They keep students on track without penalizing early-stage work.</w:t>
      </w:r>
    </w:p>
    <w:p>
      <w:pPr>
        <w:spacing w:before="240" w:after="80"/>
      </w:pPr>
      <w:r>
        <w:rPr>
          <w:rFonts w:ascii="DM Sans" w:hAnsi="DM Sans" w:cs="DM Sans"/>
          <w:b/>
          <w:i w:val="0"/>
          <w:color w:val="050C2A"/>
          <w:sz w:val="24"/>
          <w:u w:val="none"/>
        </w:rPr>
        <w:t>Why This Distinction Matters</w:t>
      </w:r>
    </w:p>
    <w:p>
      <w:pPr>
        <w:spacing w:before="0" w:after="120" w:line="276" w:lineRule="auto"/>
      </w:pPr>
      <w:r>
        <w:rPr>
          <w:rFonts w:ascii="DM Sans" w:hAnsi="DM Sans" w:cs="DM Sans"/>
          <w:b w:val="0"/>
          <w:i w:val="0"/>
          <w:color w:val="050C2A"/>
          <w:sz w:val="20"/>
          <w:u w:val="none"/>
        </w:rPr>
        <w:t>The scaffolded progression principle calls for frequent milestones to prevent procrastination and enable course correction. But grading every submission creates problems: students become risk-averse on early drafts, instructors face unsustainable grading load, and formative work gets treated as summative.</w:t>
      </w:r>
    </w:p>
    <w:p>
      <w:pPr>
        <w:spacing w:before="0" w:after="120" w:line="276" w:lineRule="auto"/>
      </w:pPr>
      <w:r>
        <w:rPr>
          <w:rFonts w:ascii="DM Sans" w:hAnsi="DM Sans" w:cs="DM Sans"/>
          <w:b w:val="0"/>
          <w:i w:val="0"/>
          <w:color w:val="050C2A"/>
          <w:sz w:val="20"/>
          <w:u w:val="none"/>
        </w:rPr>
        <w:t>Checkpoints solve this. Students must submit work at regular intervals (maintaining the scaffold), and they receive feedback (supporting learning), but early-stage work isn't held to final-quality standards. This encourages iteration and risk-taking.</w:t>
      </w:r>
    </w:p>
    <w:p>
      <w:pPr>
        <w:spacing w:before="240" w:after="80"/>
      </w:pPr>
      <w:r>
        <w:rPr>
          <w:rFonts w:ascii="DM Sans" w:hAnsi="DM Sans" w:cs="DM Sans"/>
          <w:b/>
          <w:i w:val="0"/>
          <w:color w:val="050C2A"/>
          <w:sz w:val="24"/>
          <w:u w:val="none"/>
        </w:rPr>
        <w:t>Checkpoint Requirements</w:t>
      </w:r>
    </w:p>
    <w:p>
      <w:pPr>
        <w:spacing w:before="0" w:after="120" w:line="276" w:lineRule="auto"/>
      </w:pPr>
      <w:r>
        <w:rPr>
          <w:rFonts w:ascii="DM Sans" w:hAnsi="DM Sans" w:cs="DM Sans"/>
          <w:b w:val="0"/>
          <w:i w:val="0"/>
          <w:color w:val="050C2A"/>
          <w:sz w:val="20"/>
          <w:u w:val="none"/>
        </w:rPr>
        <w:t>Checkpoints are assessed as Complete or Incomplete: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Complete:</w:t>
      </w:r>
      <w:r>
        <w:rPr>
          <w:rFonts w:ascii="DM Sans" w:hAnsi="DM Sans" w:cs="DM Sans"/>
          <w:b w:val="0"/>
          <w:i w:val="0"/>
          <w:color w:val="050C2A"/>
          <w:sz w:val="20"/>
          <w:u w:val="none"/>
        </w:rPr>
        <w:t xml:space="preserve"> Submitted on time and meets basic requirements (addresses the prompt, demonstrates meaningful effort)</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Incomplete:</w:t>
      </w:r>
      <w:r>
        <w:rPr>
          <w:rFonts w:ascii="DM Sans" w:hAnsi="DM Sans" w:cs="DM Sans"/>
          <w:b w:val="0"/>
          <w:i w:val="0"/>
          <w:color w:val="050C2A"/>
          <w:sz w:val="20"/>
          <w:u w:val="none"/>
        </w:rPr>
        <w:t xml:space="preserve"> Not submitted, late without approval, or clearly insufficient</w:t>
      </w:r>
    </w:p>
    <w:p>
      <w:pPr>
        <w:spacing w:before="0" w:after="120" w:line="276" w:lineRule="auto"/>
      </w:pPr>
      <w:r>
        <w:rPr>
          <w:rFonts w:ascii="DM Sans" w:hAnsi="DM Sans" w:cs="DM Sans"/>
          <w:b w:val="0"/>
          <w:i w:val="0"/>
          <w:color w:val="050C2A"/>
          <w:sz w:val="20"/>
          <w:u w:val="none"/>
        </w:rPr>
        <w:t>Students cannot pass the course with more than two incomplete checkpoints. This ensures the scaffolded structure is actually followed.</w:t>
      </w:r>
    </w:p>
    <w:p>
      <w:pPr>
        <w:spacing w:before="0" w:after="120" w:line="276" w:lineRule="auto"/>
      </w:pPr>
      <w:r>
        <w:rPr>
          <w:rFonts w:ascii="DM Sans" w:hAnsi="DM Sans" w:cs="DM Sans"/>
          <w:b w:val="0"/>
          <w:i w:val="0"/>
          <w:color w:val="050C2A"/>
          <w:sz w:val="20"/>
          <w:u w:val="none"/>
        </w:rPr>
        <w:t xml:space="preserve">The full schedule of graded deliverables and checkpoints is detailed in the </w:t>
      </w:r>
      <w:r>
        <w:rPr>
          <w:rFonts w:ascii="DM Sans" w:hAnsi="DM Sans" w:cs="DM Sans"/>
          <w:b w:val="0"/>
          <w:i/>
          <w:color w:val="050C2A"/>
          <w:sz w:val="20"/>
          <w:u w:val="none"/>
        </w:rPr>
        <w:t>Course Structure</w:t>
      </w:r>
      <w:r>
        <w:rPr>
          <w:rFonts w:ascii="DM Sans" w:hAnsi="DM Sans" w:cs="DM Sans"/>
          <w:b w:val="0"/>
          <w:i w:val="0"/>
          <w:color w:val="050C2A"/>
          <w:sz w:val="20"/>
          <w:u w:val="none"/>
        </w:rPr>
        <w:t xml:space="preserve"> document.</w:t>
      </w:r>
    </w:p>
    <w:p>
      <w:pPr>
        <w:spacing w:before="280" w:after="100"/>
      </w:pPr>
      <w:r>
        <w:rPr>
          <w:rFonts w:ascii="DM Sans" w:hAnsi="DM Sans" w:cs="DM Sans"/>
          <w:b/>
          <w:i w:val="0"/>
          <w:color w:val="050C2A"/>
          <w:sz w:val="28"/>
          <w:u w:val="none"/>
        </w:rPr>
        <w:t>Rubric Strategy</w:t>
      </w:r>
    </w:p>
    <w:p>
      <w:pPr>
        <w:spacing w:before="0" w:after="120" w:line="276" w:lineRule="auto"/>
      </w:pPr>
      <w:r>
        <w:rPr>
          <w:rFonts w:ascii="DM Sans" w:hAnsi="DM Sans" w:cs="DM Sans"/>
          <w:b w:val="0"/>
          <w:i w:val="0"/>
          <w:color w:val="050C2A"/>
          <w:sz w:val="20"/>
          <w:u w:val="none"/>
        </w:rPr>
        <w:t>Rubrics make assessment criteria explicit and consistent. In Riipen Experience, rubrics serve to enable comparison across diverse projects while maintaining relevance to the specific work students are doing.</w:t>
      </w:r>
    </w:p>
    <w:p>
      <w:pPr>
        <w:spacing w:before="240" w:after="80"/>
      </w:pPr>
      <w:r>
        <w:rPr>
          <w:rFonts w:ascii="DM Sans" w:hAnsi="DM Sans" w:cs="DM Sans"/>
          <w:b/>
          <w:i w:val="0"/>
          <w:color w:val="050C2A"/>
          <w:sz w:val="24"/>
          <w:u w:val="none"/>
        </w:rPr>
        <w:t>Fixed Dimensions Across All Rubrics</w:t>
      </w:r>
    </w:p>
    <w:p>
      <w:pPr>
        <w:spacing w:before="0" w:after="120" w:line="276" w:lineRule="auto"/>
      </w:pPr>
      <w:r>
        <w:rPr>
          <w:rFonts w:ascii="DM Sans" w:hAnsi="DM Sans" w:cs="DM Sans"/>
          <w:b w:val="0"/>
          <w:i w:val="0"/>
          <w:color w:val="050C2A"/>
          <w:sz w:val="20"/>
          <w:u w:val="none"/>
        </w:rPr>
        <w:t>All rubrics use fully fixed dimensions — the same criteria apply regardless of project type: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Reflection rubric:</w:t>
      </w:r>
      <w:r>
        <w:rPr>
          <w:rFonts w:ascii="DM Sans" w:hAnsi="DM Sans" w:cs="DM Sans"/>
          <w:b w:val="0"/>
          <w:i w:val="0"/>
          <w:color w:val="050C2A"/>
          <w:sz w:val="20"/>
          <w:u w:val="none"/>
        </w:rPr>
        <w:t xml:space="preserve"> Fixed. Assesses quality of reflection across all projects using consistent criteria.</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Professionalism rubric:</w:t>
      </w:r>
      <w:r>
        <w:rPr>
          <w:rFonts w:ascii="DM Sans" w:hAnsi="DM Sans" w:cs="DM Sans"/>
          <w:b w:val="0"/>
          <w:i w:val="0"/>
          <w:color w:val="050C2A"/>
          <w:sz w:val="20"/>
          <w:u w:val="none"/>
        </w:rPr>
        <w:t xml:space="preserve"> Fixed. Assesses workplace behaviors and engagement consistently.</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Presentation rubric:</w:t>
      </w:r>
      <w:r>
        <w:rPr>
          <w:rFonts w:ascii="DM Sans" w:hAnsi="DM Sans" w:cs="DM Sans"/>
          <w:b w:val="0"/>
          <w:i w:val="0"/>
          <w:color w:val="050C2A"/>
          <w:sz w:val="20"/>
          <w:u w:val="none"/>
        </w:rPr>
        <w:t xml:space="preserve"> Fixed. Assesses communication and synthesis skills consistently.</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Peer evaluation:</w:t>
      </w:r>
      <w:r>
        <w:rPr>
          <w:rFonts w:ascii="DM Sans" w:hAnsi="DM Sans" w:cs="DM Sans"/>
          <w:b w:val="0"/>
          <w:i w:val="0"/>
          <w:color w:val="050C2A"/>
          <w:sz w:val="20"/>
          <w:u w:val="none"/>
        </w:rPr>
        <w:t xml:space="preserve"> Fixed. Assesses collaboration and contribution consistently.</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Project deliverable rubrics</w:t>
      </w:r>
      <w:r>
        <w:rPr>
          <w:rFonts w:ascii="DM Sans" w:hAnsi="DM Sans" w:cs="DM Sans"/>
          <w:b w:val="0"/>
          <w:i w:val="0"/>
          <w:color w:val="050C2A"/>
          <w:sz w:val="20"/>
          <w:u w:val="none"/>
        </w:rPr>
        <w:t xml:space="preserve"> (Context Analysis and Final Deliverables): Fixed. Standardized dimensions apply to all projects, enabling comparison across diverse project content while remaining relevant to the analytical and applied demands of the work.</w:t>
      </w:r>
    </w:p>
    <w:p>
      <w:pPr>
        <w:spacing w:before="240" w:after="80"/>
      </w:pPr>
      <w:r>
        <w:rPr>
          <w:rFonts w:ascii="DM Sans" w:hAnsi="DM Sans" w:cs="DM Sans"/>
          <w:b/>
          <w:i w:val="0"/>
          <w:color w:val="050C2A"/>
          <w:sz w:val="24"/>
          <w:u w:val="none"/>
        </w:rPr>
        <w:t>Competency Alignment</w:t>
      </w:r>
    </w:p>
    <w:p>
      <w:pPr>
        <w:spacing w:before="0" w:after="120" w:line="276" w:lineRule="auto"/>
      </w:pPr>
      <w:r>
        <w:rPr>
          <w:rFonts w:ascii="DM Sans" w:hAnsi="DM Sans" w:cs="DM Sans"/>
          <w:b w:val="0"/>
          <w:i w:val="0"/>
          <w:color w:val="050C2A"/>
          <w:sz w:val="20"/>
          <w:u w:val="none"/>
        </w:rPr>
        <w:t>All rubric dimensions map to competencies from the Riipen Competency Framework. This alignment ensures that assessment directly measures the competencies we claim to develop, and that competency-level reporting is grounded in specific, observable evidence.</w:t>
      </w:r>
    </w:p>
    <w:p>
      <w:pPr>
        <w:spacing w:before="0" w:after="120" w:line="276" w:lineRule="auto"/>
      </w:pPr>
      <w:r>
        <w:rPr>
          <w:rFonts w:ascii="DM Sans" w:hAnsi="DM Sans" w:cs="DM Sans"/>
          <w:b w:val="0"/>
          <w:i w:val="0"/>
          <w:color w:val="050C2A"/>
          <w:sz w:val="20"/>
          <w:u w:val="none"/>
        </w:rPr>
        <w:t xml:space="preserve">Detailed rubric criteria, scoring levels, and competency mappings are provided in the </w:t>
      </w:r>
      <w:r>
        <w:rPr>
          <w:rFonts w:ascii="DM Sans" w:hAnsi="DM Sans" w:cs="DM Sans"/>
          <w:b w:val="0"/>
          <w:i/>
          <w:color w:val="050C2A"/>
          <w:sz w:val="20"/>
          <w:u w:val="none"/>
        </w:rPr>
        <w:t>Rubrics</w:t>
      </w:r>
      <w:r>
        <w:rPr>
          <w:rFonts w:ascii="DM Sans" w:hAnsi="DM Sans" w:cs="DM Sans"/>
          <w:b w:val="0"/>
          <w:i w:val="0"/>
          <w:color w:val="050C2A"/>
          <w:sz w:val="20"/>
          <w:u w:val="none"/>
        </w:rPr>
        <w:t xml:space="preserve"> document.</w:t>
      </w:r>
    </w:p>
    <w:p>
      <w:pPr>
        <w:spacing w:before="280" w:after="100"/>
      </w:pPr>
      <w:r>
        <w:rPr>
          <w:rFonts w:ascii="DM Sans" w:hAnsi="DM Sans" w:cs="DM Sans"/>
          <w:b/>
          <w:i w:val="0"/>
          <w:color w:val="050C2A"/>
          <w:sz w:val="28"/>
          <w:u w:val="none"/>
        </w:rPr>
        <w:t>Individual Accountability</w:t>
      </w:r>
    </w:p>
    <w:p>
      <w:pPr>
        <w:spacing w:before="0" w:after="120" w:line="276" w:lineRule="auto"/>
      </w:pPr>
      <w:r>
        <w:rPr>
          <w:rFonts w:ascii="DM Sans" w:hAnsi="DM Sans" w:cs="DM Sans"/>
          <w:b w:val="0"/>
          <w:i w:val="0"/>
          <w:color w:val="050C2A"/>
          <w:sz w:val="20"/>
          <w:u w:val="none"/>
        </w:rPr>
        <w:t xml:space="preserve">Team deliverables present an assessment challenge: how do we know what each individual learned when the work product is collective? Two mechanisms ensure individual accountability. The </w:t>
      </w:r>
      <w:r>
        <w:rPr>
          <w:rFonts w:ascii="DM Sans" w:hAnsi="DM Sans" w:cs="DM Sans"/>
          <w:b/>
          <w:i w:val="0"/>
          <w:color w:val="050C2A"/>
          <w:sz w:val="20"/>
          <w:u w:val="none"/>
        </w:rPr>
        <w:t>reflection portfolio</w:t>
      </w:r>
      <w:r>
        <w:rPr>
          <w:rFonts w:ascii="DM Sans" w:hAnsi="DM Sans" w:cs="DM Sans"/>
          <w:b w:val="0"/>
          <w:i w:val="0"/>
          <w:color w:val="050C2A"/>
          <w:sz w:val="20"/>
          <w:u w:val="none"/>
        </w:rPr>
        <w:t xml:space="preserve"> (25% of grade) is entirely individual work — each student produces their own evidence of learning regardless of team dynamics. </w:t>
      </w:r>
      <w:r>
        <w:rPr>
          <w:rFonts w:ascii="DM Sans" w:hAnsi="DM Sans" w:cs="DM Sans"/>
          <w:b/>
          <w:i w:val="0"/>
          <w:color w:val="050C2A"/>
          <w:sz w:val="20"/>
          <w:u w:val="none"/>
        </w:rPr>
        <w:t>Peer evaluation</w:t>
      </w:r>
      <w:r>
        <w:rPr>
          <w:rFonts w:ascii="DM Sans" w:hAnsi="DM Sans" w:cs="DM Sans"/>
          <w:b w:val="0"/>
          <w:i w:val="0"/>
          <w:color w:val="050C2A"/>
          <w:sz w:val="20"/>
          <w:u w:val="none"/>
        </w:rPr>
        <w:t xml:space="preserve"> surfaces contribution patterns that aren't visible in deliverables, with teammates assessing each other's reliability, collaboration, and fair share of work.</w:t>
      </w:r>
    </w:p>
    <w:p>
      <w:pPr>
        <w:spacing w:before="280" w:after="100"/>
      </w:pPr>
      <w:r>
        <w:rPr>
          <w:rFonts w:ascii="DM Sans" w:hAnsi="DM Sans" w:cs="DM Sans"/>
          <w:b/>
          <w:i w:val="0"/>
          <w:color w:val="050C2A"/>
          <w:sz w:val="28"/>
          <w:u w:val="none"/>
        </w:rPr>
        <w:t>External Input: Peer Evaluation and Employer Feedback</w:t>
      </w:r>
    </w:p>
    <w:p>
      <w:pPr>
        <w:spacing w:before="0" w:after="120" w:line="276" w:lineRule="auto"/>
      </w:pPr>
      <w:r>
        <w:rPr>
          <w:rFonts w:ascii="DM Sans" w:hAnsi="DM Sans" w:cs="DM Sans"/>
          <w:b w:val="0"/>
          <w:i w:val="0"/>
          <w:color w:val="050C2A"/>
          <w:sz w:val="20"/>
          <w:u w:val="none"/>
        </w:rPr>
        <w:t>Assessment in Riipen Experience incorporates input from peers and employers — people who observe student work from perspectives instructors don't have. This external input informs grades but is not determinative.</w:t>
      </w:r>
    </w:p>
    <w:p>
      <w:pPr>
        <w:spacing w:before="240" w:after="80"/>
      </w:pPr>
      <w:r>
        <w:rPr>
          <w:rFonts w:ascii="DM Sans" w:hAnsi="DM Sans" w:cs="DM Sans"/>
          <w:b/>
          <w:i w:val="0"/>
          <w:color w:val="050C2A"/>
          <w:sz w:val="24"/>
          <w:u w:val="none"/>
        </w:rPr>
        <w:t>Peer Evaluation</w:t>
      </w:r>
    </w:p>
    <w:p>
      <w:pPr>
        <w:spacing w:before="0" w:after="120" w:line="276" w:lineRule="auto"/>
      </w:pPr>
      <w:r>
        <w:rPr>
          <w:rFonts w:ascii="DM Sans" w:hAnsi="DM Sans" w:cs="DM Sans"/>
          <w:b w:val="0"/>
          <w:i w:val="0"/>
          <w:color w:val="050C2A"/>
          <w:sz w:val="20"/>
          <w:u w:val="none"/>
        </w:rPr>
        <w:t>Students evaluate their teammates at two points:</w:t>
      </w:r>
    </w:p>
    <w:p>
      <w:pPr>
        <w:spacing w:before="0" w:after="120" w:line="276" w:lineRule="auto"/>
      </w:pPr>
      <w:r>
        <w:rPr>
          <w:rFonts w:ascii="DM Sans" w:hAnsi="DM Sans" w:cs="DM Sans"/>
          <w:b/>
          <w:i w:val="0"/>
          <w:color w:val="050C2A"/>
          <w:sz w:val="20"/>
          <w:u w:val="none"/>
        </w:rPr>
        <w:t>Mid-project evaluation</w:t>
      </w:r>
      <w:r>
        <w:rPr>
          <w:rFonts w:ascii="DM Sans" w:hAnsi="DM Sans" w:cs="DM Sans"/>
          <w:b w:val="0"/>
          <w:i w:val="0"/>
          <w:color w:val="050C2A"/>
          <w:sz w:val="20"/>
          <w:u w:val="none"/>
        </w:rPr>
        <w:t xml:space="preserve"> occurs partway through the course. It serves both formative and summative purposes: students receive feedback they can act on, and instructors gain early visibility into team dynamics. Results are shared with teammates to enable course correction.</w:t>
      </w:r>
    </w:p>
    <w:p>
      <w:pPr>
        <w:spacing w:before="0" w:after="120" w:line="276" w:lineRule="auto"/>
      </w:pPr>
      <w:r>
        <w:rPr>
          <w:rFonts w:ascii="DM Sans" w:hAnsi="DM Sans" w:cs="DM Sans"/>
          <w:b/>
          <w:i w:val="0"/>
          <w:color w:val="050C2A"/>
          <w:sz w:val="20"/>
          <w:u w:val="none"/>
        </w:rPr>
        <w:t>Final evaluation</w:t>
      </w:r>
      <w:r>
        <w:rPr>
          <w:rFonts w:ascii="DM Sans" w:hAnsi="DM Sans" w:cs="DM Sans"/>
          <w:b w:val="0"/>
          <w:i w:val="0"/>
          <w:color w:val="050C2A"/>
          <w:sz w:val="20"/>
          <w:u w:val="none"/>
        </w:rPr>
        <w:t xml:space="preserve"> occurs at course end. It provides summative assessment of overall contribution and collaboration. Results may or may not be shared (institutional choice).</w:t>
      </w:r>
    </w:p>
    <w:p>
      <w:pPr>
        <w:spacing w:before="0" w:after="120" w:line="276" w:lineRule="auto"/>
      </w:pPr>
      <w:r>
        <w:rPr>
          <w:rFonts w:ascii="DM Sans" w:hAnsi="DM Sans" w:cs="DM Sans"/>
          <w:b w:val="0"/>
          <w:i w:val="0"/>
          <w:color w:val="050C2A"/>
          <w:sz w:val="20"/>
          <w:u w:val="none"/>
        </w:rPr>
        <w:t>For each teammate, students provide: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Ratings on specific behaviors (reliability, communication, contribution, collaboration)</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Required written evidence for each rating</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Overall assessment</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Self-evaluation on the same dimensions</w:t>
      </w:r>
    </w:p>
    <w:p>
      <w:pPr>
        <w:spacing w:before="0" w:after="120" w:line="276" w:lineRule="auto"/>
      </w:pPr>
      <w:r>
        <w:rPr>
          <w:rFonts w:ascii="DM Sans" w:hAnsi="DM Sans" w:cs="DM Sans"/>
          <w:b w:val="0"/>
          <w:i w:val="0"/>
          <w:color w:val="050C2A"/>
          <w:sz w:val="20"/>
          <w:u w:val="none"/>
        </w:rPr>
        <w:t>The requirement for specific evidence prevents drive-by ratings and makes evaluation more meaningful. "Marcus was unreliable" is insufficient; "Marcus missed two team meetings and submitted his section three days late, requiring us to revise the timeline" is actionable.</w:t>
      </w:r>
    </w:p>
    <w:p>
      <w:pPr>
        <w:spacing w:before="240" w:after="80"/>
      </w:pPr>
      <w:r>
        <w:rPr>
          <w:rFonts w:ascii="DM Sans" w:hAnsi="DM Sans" w:cs="DM Sans"/>
          <w:b/>
          <w:i w:val="0"/>
          <w:color w:val="050C2A"/>
          <w:sz w:val="24"/>
          <w:u w:val="none"/>
        </w:rPr>
        <w:t>Employer Feedback</w:t>
      </w:r>
    </w:p>
    <w:p>
      <w:pPr>
        <w:spacing w:before="0" w:after="120" w:line="276" w:lineRule="auto"/>
      </w:pPr>
      <w:r>
        <w:rPr>
          <w:rFonts w:ascii="DM Sans" w:hAnsi="DM Sans" w:cs="DM Sans"/>
          <w:b w:val="0"/>
          <w:i w:val="0"/>
          <w:color w:val="050C2A"/>
          <w:sz w:val="20"/>
          <w:u w:val="none"/>
        </w:rPr>
        <w:t>Employers provide input through structured surveys at two points: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Mid-project survey</w:t>
      </w:r>
      <w:r>
        <w:rPr>
          <w:rFonts w:ascii="DM Sans" w:hAnsi="DM Sans" w:cs="DM Sans"/>
          <w:b w:val="0"/>
          <w:i w:val="0"/>
          <w:color w:val="050C2A"/>
          <w:sz w:val="20"/>
          <w:u w:val="none"/>
        </w:rPr>
        <w:t xml:space="preserve"> (brief): Team responsiveness, communication quality, professionalism in interactions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End-of-project survey</w:t>
      </w:r>
      <w:r>
        <w:rPr>
          <w:rFonts w:ascii="DM Sans" w:hAnsi="DM Sans" w:cs="DM Sans"/>
          <w:b w:val="0"/>
          <w:i w:val="0"/>
          <w:color w:val="050C2A"/>
          <w:sz w:val="20"/>
          <w:u w:val="none"/>
        </w:rPr>
        <w:t xml:space="preserve"> (fuller): Deliverable quality, professionalism throughout, whether they'd work with the team again</w:t>
      </w:r>
    </w:p>
    <w:p>
      <w:pPr>
        <w:spacing w:before="0" w:after="120" w:line="276" w:lineRule="auto"/>
      </w:pPr>
      <w:r>
        <w:rPr>
          <w:rFonts w:ascii="DM Sans" w:hAnsi="DM Sans" w:cs="DM Sans"/>
          <w:b w:val="0"/>
          <w:i w:val="0"/>
          <w:color w:val="050C2A"/>
          <w:sz w:val="20"/>
          <w:u w:val="none"/>
        </w:rPr>
        <w:t xml:space="preserve">Employer feedback operates at the </w:t>
      </w:r>
      <w:r>
        <w:rPr>
          <w:rFonts w:ascii="DM Sans" w:hAnsi="DM Sans" w:cs="DM Sans"/>
          <w:b/>
          <w:i w:val="0"/>
          <w:color w:val="050C2A"/>
          <w:sz w:val="20"/>
          <w:u w:val="none"/>
        </w:rPr>
        <w:t>team level</w:t>
      </w:r>
      <w:r>
        <w:rPr>
          <w:rFonts w:ascii="DM Sans" w:hAnsi="DM Sans" w:cs="DM Sans"/>
          <w:b w:val="0"/>
          <w:i w:val="0"/>
          <w:color w:val="050C2A"/>
          <w:sz w:val="20"/>
          <w:u w:val="none"/>
        </w:rPr>
        <w:t>. Employers interact with the team as a unit through touchpoints and email communication; they observe collective professionalism and responsiveness but typically cannot assess individual contributions systematically. Employers may optionally note outstanding individual contributions, but per-student ratings are not expected.</w:t>
      </w:r>
    </w:p>
    <w:p>
      <w:pPr>
        <w:spacing w:before="0" w:after="120" w:line="276" w:lineRule="auto"/>
      </w:pPr>
      <w:r>
        <w:rPr>
          <w:rFonts w:ascii="DM Sans" w:hAnsi="DM Sans" w:cs="DM Sans"/>
          <w:b w:val="0"/>
          <w:i w:val="0"/>
          <w:color w:val="050C2A"/>
          <w:sz w:val="20"/>
          <w:u w:val="none"/>
        </w:rPr>
        <w:t>Employer observations from touchpoints (kickoff, check-ins, presentation) also contribute, particularly regarding team communication, preparation, and responsiveness.</w:t>
      </w:r>
    </w:p>
    <w:p>
      <w:pPr>
        <w:spacing w:before="240" w:after="80"/>
      </w:pPr>
      <w:r>
        <w:rPr>
          <w:rFonts w:ascii="DM Sans" w:hAnsi="DM Sans" w:cs="DM Sans"/>
          <w:b/>
          <w:i w:val="0"/>
          <w:color w:val="050C2A"/>
          <w:sz w:val="24"/>
          <w:u w:val="none"/>
        </w:rPr>
        <w:t>How External Input Factors Into Grades</w:t>
      </w:r>
    </w:p>
    <w:p>
      <w:pPr>
        <w:spacing w:before="0" w:after="120" w:line="276" w:lineRule="auto"/>
      </w:pPr>
      <w:r>
        <w:rPr>
          <w:rFonts w:ascii="DM Sans" w:hAnsi="DM Sans" w:cs="DM Sans"/>
          <w:b w:val="0"/>
          <w:i w:val="0"/>
          <w:color w:val="050C2A"/>
          <w:sz w:val="20"/>
          <w:u w:val="none"/>
        </w:rPr>
        <w:t>Peer evaluation and employer feedback inform the Professional Engagement component (20% of grade). Peer evaluation provides evidence of individual contribution that instructors cannot directly observe. Employer feedback provides evidence of team professionalism and responsiveness.</w:t>
      </w:r>
    </w:p>
    <w:p>
      <w:pPr>
        <w:spacing w:before="0" w:after="120" w:line="276" w:lineRule="auto"/>
      </w:pPr>
      <w:r>
        <w:rPr>
          <w:rFonts w:ascii="DM Sans" w:hAnsi="DM Sans" w:cs="DM Sans"/>
          <w:b w:val="0"/>
          <w:i w:val="0"/>
          <w:color w:val="050C2A"/>
          <w:sz w:val="20"/>
          <w:u w:val="none"/>
        </w:rPr>
        <w:t>However, external input is not determinative. Instructors make final judgments, weighing peer and employer input alongside their own observations. This approach acknowledges that:</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Employers see only part of student work, have varying standards, and observe the team rather than individuals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Peer evaluations can reflect interpersonal dynamics as much as actual contribution</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Both sources provide valuable perspective that should inform — but not dictate — academic assessment</w:t>
      </w:r>
    </w:p>
    <w:p>
      <w:pPr>
        <w:spacing w:before="280" w:after="100"/>
      </w:pPr>
      <w:r>
        <w:rPr>
          <w:rFonts w:ascii="DM Sans" w:hAnsi="DM Sans" w:cs="DM Sans"/>
          <w:b/>
          <w:i w:val="0"/>
          <w:color w:val="050C2A"/>
          <w:sz w:val="28"/>
          <w:u w:val="none"/>
        </w:rPr>
        <w:t>AI-Assisted Review</w:t>
      </w:r>
    </w:p>
    <w:p>
      <w:pPr>
        <w:spacing w:before="0" w:after="120" w:line="276" w:lineRule="auto"/>
      </w:pPr>
      <w:r>
        <w:rPr>
          <w:rFonts w:ascii="DM Sans" w:hAnsi="DM Sans" w:cs="DM Sans"/>
          <w:b w:val="0"/>
          <w:i w:val="0"/>
          <w:color w:val="050C2A"/>
          <w:sz w:val="20"/>
          <w:u w:val="none"/>
        </w:rPr>
        <w:t>Scaling experiential learning requires rethinking where human attention is essential versus where AI can assist. The goal is not to remove humans from assessment — it's to focus human expertise where it matters most while maintaining feedback quality and speed.</w:t>
      </w:r>
    </w:p>
    <w:p>
      <w:pPr>
        <w:spacing w:before="240" w:after="80"/>
      </w:pPr>
      <w:r>
        <w:rPr>
          <w:rFonts w:ascii="DM Sans" w:hAnsi="DM Sans" w:cs="DM Sans"/>
          <w:b/>
          <w:i w:val="0"/>
          <w:color w:val="050C2A"/>
          <w:sz w:val="24"/>
          <w:u w:val="none"/>
        </w:rPr>
        <w:t>Where AI Can Help</w:t>
      </w:r>
    </w:p>
    <w:p>
      <w:pPr>
        <w:spacing w:before="0" w:after="120" w:line="276" w:lineRule="auto"/>
      </w:pPr>
      <w:r>
        <w:rPr>
          <w:rFonts w:ascii="DM Sans" w:hAnsi="DM Sans" w:cs="DM Sans"/>
          <w:b/>
          <w:i w:val="0"/>
          <w:color w:val="050C2A"/>
          <w:sz w:val="20"/>
          <w:u w:val="none"/>
        </w:rPr>
        <w:t>Checkpoint review:</w:t>
      </w:r>
      <w:r>
        <w:rPr>
          <w:rFonts w:ascii="DM Sans" w:hAnsi="DM Sans" w:cs="DM Sans"/>
          <w:b w:val="0"/>
          <w:i w:val="0"/>
          <w:color w:val="050C2A"/>
          <w:sz w:val="20"/>
          <w:u w:val="none"/>
        </w:rPr>
        <w:t xml:space="preserve"> AI can verify required elements are present, provide immediate structural feedback, and flag submissions that need human attention (incomplete, confusing, or concerning content). This enables same-day feedback on most checkpoints while routing problems to instructors.</w:t>
      </w:r>
    </w:p>
    <w:p>
      <w:pPr>
        <w:spacing w:before="0" w:after="120" w:line="276" w:lineRule="auto"/>
      </w:pPr>
      <w:r>
        <w:rPr>
          <w:rFonts w:ascii="DM Sans" w:hAnsi="DM Sans" w:cs="DM Sans"/>
          <w:b/>
          <w:i w:val="0"/>
          <w:color w:val="050C2A"/>
          <w:sz w:val="20"/>
          <w:u w:val="none"/>
        </w:rPr>
        <w:t>Rubric alignment:</w:t>
      </w:r>
      <w:r>
        <w:rPr>
          <w:rFonts w:ascii="DM Sans" w:hAnsi="DM Sans" w:cs="DM Sans"/>
          <w:b w:val="0"/>
          <w:i w:val="0"/>
          <w:color w:val="050C2A"/>
          <w:sz w:val="20"/>
          <w:u w:val="none"/>
        </w:rPr>
        <w:t xml:space="preserve"> AI can pre-screen graded deliverables against rubric dimensions, highlighting areas of strength and weakness and drafting dimension-level feedback for human review. Instructors see AI observations and confirm, adjust, or override as needed.</w:t>
      </w:r>
    </w:p>
    <w:p>
      <w:pPr>
        <w:spacing w:before="0" w:after="120" w:line="276" w:lineRule="auto"/>
      </w:pPr>
      <w:r>
        <w:rPr>
          <w:rFonts w:ascii="DM Sans" w:hAnsi="DM Sans" w:cs="DM Sans"/>
          <w:b/>
          <w:i w:val="0"/>
          <w:color w:val="050C2A"/>
          <w:sz w:val="20"/>
          <w:u w:val="none"/>
        </w:rPr>
        <w:t>Pattern detection:</w:t>
      </w:r>
      <w:r>
        <w:rPr>
          <w:rFonts w:ascii="DM Sans" w:hAnsi="DM Sans" w:cs="DM Sans"/>
          <w:b w:val="0"/>
          <w:i w:val="0"/>
          <w:color w:val="050C2A"/>
          <w:sz w:val="20"/>
          <w:u w:val="none"/>
        </w:rPr>
        <w:t xml:space="preserve"> AI can analyze peer evaluations for consistency and red flags — one member rated poorly by all peers, wildly divergent self-assessments versus peer assessments — and surface these for instructor attention before problems escalate.</w:t>
      </w:r>
    </w:p>
    <w:p>
      <w:pPr>
        <w:spacing w:before="240" w:after="80"/>
      </w:pPr>
      <w:r>
        <w:rPr>
          <w:rFonts w:ascii="DM Sans" w:hAnsi="DM Sans" w:cs="DM Sans"/>
          <w:b/>
          <w:i w:val="0"/>
          <w:color w:val="050C2A"/>
          <w:sz w:val="24"/>
          <w:u w:val="none"/>
        </w:rPr>
        <w:t>The Governing Principle</w:t>
      </w:r>
    </w:p>
    <w:p>
      <w:pPr>
        <w:spacing w:before="0" w:after="120" w:line="276" w:lineRule="auto"/>
      </w:pPr>
      <w:r>
        <w:rPr>
          <w:rFonts w:ascii="DM Sans" w:hAnsi="DM Sans" w:cs="DM Sans"/>
          <w:b/>
          <w:i w:val="0"/>
          <w:color w:val="050C2A"/>
          <w:sz w:val="20"/>
          <w:u w:val="none"/>
        </w:rPr>
        <w:t>AI assists with observation and pattern-flagging; humans make final judgments and assign grades.</w:t>
      </w:r>
      <w:r>
        <w:rPr>
          <w:rFonts w:ascii="DM Sans" w:hAnsi="DM Sans" w:cs="DM Sans"/>
          <w:b w:val="0"/>
          <w:i w:val="0"/>
          <w:color w:val="050C2A"/>
          <w:sz w:val="20"/>
          <w:u w:val="none"/>
        </w:rPr>
        <w:t xml:space="preserve"> AI never assigns scores without human confirmation. Students can always request human review of any feedback. Sensitive content (mental health concerns, academic integrity flags, team conflict) always routes to humans.</w:t>
      </w:r>
    </w:p>
    <w:p>
      <w:pPr>
        <w:spacing w:before="0" w:after="120" w:line="276" w:lineRule="auto"/>
      </w:pPr>
      <w:r>
        <w:rPr>
          <w:rFonts w:ascii="DM Sans" w:hAnsi="DM Sans" w:cs="DM Sans"/>
          <w:b w:val="0"/>
          <w:i w:val="0"/>
          <w:color w:val="050C2A"/>
          <w:sz w:val="20"/>
          <w:u w:val="none"/>
        </w:rPr>
        <w:t>This approach shifts instructor time from "reviewing everything" to "reviewing what matters and intervening where needed" — enabling scale without sacrificing quality or human oversight.</w:t>
      </w:r>
    </w:p>
    <w:p>
      <w:pPr>
        <w:spacing w:before="280" w:after="100"/>
      </w:pPr>
      <w:r>
        <w:rPr>
          <w:rFonts w:ascii="DM Sans" w:hAnsi="DM Sans" w:cs="DM Sans"/>
          <w:b/>
          <w:i w:val="0"/>
          <w:color w:val="050C2A"/>
          <w:sz w:val="28"/>
          <w:u w:val="none"/>
        </w:rPr>
        <w:t>Grade Calculation</w:t>
      </w:r>
    </w:p>
    <w:p>
      <w:pPr>
        <w:spacing w:before="0" w:after="120" w:line="276" w:lineRule="auto"/>
      </w:pPr>
      <w:r>
        <w:rPr>
          <w:rFonts w:ascii="DM Sans" w:hAnsi="DM Sans" w:cs="DM Sans"/>
          <w:b w:val="0"/>
          <w:i w:val="0"/>
          <w:color w:val="050C2A"/>
          <w:sz w:val="20"/>
          <w:u w:val="none"/>
        </w:rPr>
        <w:t>The final grade combines four evidence types: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3159"/>
            <w:shd w:fill="FF7C0A" w:val="clear"/>
            <w:vAlign w:val="center"/>
          </w:tcPr>
          <w:p>
            <w:pPr>
              <w:jc w:val="left"/>
              <w:spacing w:before="40" w:after="40"/>
            </w:pPr>
            <w:r>
              <w:rPr>
                <w:rFonts w:ascii="DM Sans" w:hAnsi="DM Sans" w:cs="DM Sans"/>
                <w:b/>
                <w:i w:val="0"/>
                <w:color w:val="FFFFFF"/>
                <w:sz w:val="20"/>
                <w:u w:val="none"/>
              </w:rPr>
              <w:t>Component</w:t>
            </w:r>
          </w:p>
        </w:tc>
        <w:tc>
          <w:tcPr>
            <w:tcW w:type="dxa" w:w="1489"/>
            <w:shd w:fill="FF7C0A" w:val="clear"/>
            <w:vAlign w:val="center"/>
          </w:tcPr>
          <w:p>
            <w:pPr>
              <w:jc w:val="left"/>
              <w:spacing w:before="40" w:after="40"/>
            </w:pPr>
            <w:r>
              <w:rPr>
                <w:rFonts w:ascii="DM Sans" w:hAnsi="DM Sans" w:cs="DM Sans"/>
                <w:b/>
                <w:i w:val="0"/>
                <w:color w:val="FFFFFF"/>
                <w:sz w:val="20"/>
                <w:u w:val="none"/>
              </w:rPr>
              <w:t>Weight</w:t>
            </w:r>
          </w:p>
        </w:tc>
        <w:tc>
          <w:tcPr>
            <w:tcW w:type="dxa" w:w="4712"/>
            <w:shd w:fill="FF7C0A" w:val="clear"/>
            <w:vAlign w:val="center"/>
          </w:tcPr>
          <w:p>
            <w:pPr>
              <w:jc w:val="left"/>
              <w:spacing w:before="40" w:after="40"/>
            </w:pPr>
            <w:r>
              <w:rPr>
                <w:rFonts w:ascii="DM Sans" w:hAnsi="DM Sans" w:cs="DM Sans"/>
                <w:b/>
                <w:i w:val="0"/>
                <w:color w:val="FFFFFF"/>
                <w:sz w:val="20"/>
                <w:u w:val="none"/>
              </w:rPr>
              <w:t>Assessed Via</w:t>
            </w:r>
          </w:p>
        </w:tc>
      </w:tr>
      <w:tr>
        <w:tc>
          <w:tcPr>
            <w:tcW w:type="dxa" w:w="3159"/>
            <w:vAlign w:val="center"/>
          </w:tcPr>
          <w:p>
            <w:pPr>
              <w:spacing w:before="30" w:after="30"/>
            </w:pPr>
            <w:r>
              <w:rPr>
                <w:rFonts w:ascii="DM Sans" w:hAnsi="DM Sans" w:cs="DM Sans"/>
                <w:b/>
                <w:i w:val="0"/>
                <w:color w:val="050C2A"/>
                <w:sz w:val="20"/>
                <w:u w:val="none"/>
              </w:rPr>
              <w:t>Project Deliverables</w:t>
            </w:r>
          </w:p>
        </w:tc>
        <w:tc>
          <w:tcPr>
            <w:tcW w:type="dxa" w:w="1489"/>
            <w:vAlign w:val="center"/>
          </w:tcPr>
          <w:p>
            <w:pPr>
              <w:spacing w:before="30" w:after="30"/>
            </w:pPr>
            <w:r>
              <w:rPr>
                <w:rFonts w:ascii="DM Sans" w:hAnsi="DM Sans" w:cs="DM Sans"/>
                <w:b w:val="0"/>
                <w:i w:val="0"/>
                <w:color w:val="050C2A"/>
                <w:sz w:val="20"/>
                <w:u w:val="none"/>
              </w:rPr>
              <w:t>40%</w:t>
            </w:r>
          </w:p>
        </w:tc>
        <w:tc>
          <w:tcPr>
            <w:tcW w:type="dxa" w:w="4712"/>
            <w:vAlign w:val="center"/>
          </w:tcPr>
          <w:p>
            <w:pPr>
              <w:spacing w:before="30" w:after="30"/>
            </w:pPr>
            <w:r>
              <w:rPr>
                <w:rFonts w:ascii="DM Sans" w:hAnsi="DM Sans" w:cs="DM Sans"/>
                <w:b w:val="0"/>
                <w:i w:val="0"/>
                <w:color w:val="050C2A"/>
                <w:sz w:val="20"/>
                <w:u w:val="none"/>
              </w:rPr>
              <w:t>Project rubric (fixed dimensions)</w:t>
            </w:r>
          </w:p>
        </w:tc>
      </w:tr>
      <w:tr>
        <w:tc>
          <w:tcPr>
            <w:tcW w:type="dxa" w:w="3159"/>
            <w:shd w:fill="F5F5F5" w:val="clear"/>
            <w:vAlign w:val="center"/>
          </w:tcPr>
          <w:p>
            <w:pPr>
              <w:spacing w:before="30" w:after="30"/>
            </w:pPr>
            <w:r>
              <w:rPr>
                <w:rFonts w:ascii="DM Sans" w:hAnsi="DM Sans" w:cs="DM Sans"/>
                <w:b/>
                <w:i w:val="0"/>
                <w:color w:val="050C2A"/>
                <w:sz w:val="20"/>
                <w:u w:val="none"/>
              </w:rPr>
              <w:t>Reflection Portfolio</w:t>
            </w:r>
          </w:p>
        </w:tc>
        <w:tc>
          <w:tcPr>
            <w:tcW w:type="dxa" w:w="1489"/>
            <w:shd w:fill="F5F5F5" w:val="clear"/>
            <w:vAlign w:val="center"/>
          </w:tcPr>
          <w:p>
            <w:pPr>
              <w:spacing w:before="30" w:after="30"/>
            </w:pPr>
            <w:r>
              <w:rPr>
                <w:rFonts w:ascii="DM Sans" w:hAnsi="DM Sans" w:cs="DM Sans"/>
                <w:b w:val="0"/>
                <w:i w:val="0"/>
                <w:color w:val="050C2A"/>
                <w:sz w:val="20"/>
                <w:u w:val="none"/>
              </w:rPr>
              <w:t>25%</w:t>
            </w:r>
          </w:p>
        </w:tc>
        <w:tc>
          <w:tcPr>
            <w:tcW w:type="dxa" w:w="4712"/>
            <w:shd w:fill="F5F5F5" w:val="clear"/>
            <w:vAlign w:val="center"/>
          </w:tcPr>
          <w:p>
            <w:pPr>
              <w:spacing w:before="30" w:after="30"/>
            </w:pPr>
            <w:r>
              <w:rPr>
                <w:rFonts w:ascii="DM Sans" w:hAnsi="DM Sans" w:cs="DM Sans"/>
                <w:b w:val="0"/>
                <w:i w:val="0"/>
                <w:color w:val="050C2A"/>
                <w:sz w:val="20"/>
                <w:u w:val="none"/>
              </w:rPr>
              <w:t>Reflection rubric (fixed)</w:t>
            </w:r>
          </w:p>
        </w:tc>
      </w:tr>
      <w:tr>
        <w:tc>
          <w:tcPr>
            <w:tcW w:type="dxa" w:w="3159"/>
            <w:vAlign w:val="center"/>
          </w:tcPr>
          <w:p>
            <w:pPr>
              <w:spacing w:before="30" w:after="30"/>
            </w:pPr>
            <w:r>
              <w:rPr>
                <w:rFonts w:ascii="DM Sans" w:hAnsi="DM Sans" w:cs="DM Sans"/>
                <w:b/>
                <w:i w:val="0"/>
                <w:color w:val="050C2A"/>
                <w:sz w:val="20"/>
                <w:u w:val="none"/>
              </w:rPr>
              <w:t>Professional Engagement</w:t>
            </w:r>
          </w:p>
        </w:tc>
        <w:tc>
          <w:tcPr>
            <w:tcW w:type="dxa" w:w="1489"/>
            <w:vAlign w:val="center"/>
          </w:tcPr>
          <w:p>
            <w:pPr>
              <w:spacing w:before="30" w:after="30"/>
            </w:pPr>
            <w:r>
              <w:rPr>
                <w:rFonts w:ascii="DM Sans" w:hAnsi="DM Sans" w:cs="DM Sans"/>
                <w:b w:val="0"/>
                <w:i w:val="0"/>
                <w:color w:val="050C2A"/>
                <w:sz w:val="20"/>
                <w:u w:val="none"/>
              </w:rPr>
              <w:t>20%</w:t>
            </w:r>
          </w:p>
        </w:tc>
        <w:tc>
          <w:tcPr>
            <w:tcW w:type="dxa" w:w="4712"/>
            <w:vAlign w:val="center"/>
          </w:tcPr>
          <w:p>
            <w:pPr>
              <w:spacing w:before="30" w:after="30"/>
            </w:pPr>
            <w:r>
              <w:rPr>
                <w:rFonts w:ascii="DM Sans" w:hAnsi="DM Sans" w:cs="DM Sans"/>
                <w:b w:val="0"/>
                <w:i w:val="0"/>
                <w:color w:val="050C2A"/>
                <w:sz w:val="20"/>
                <w:u w:val="none"/>
              </w:rPr>
              <w:t>Professionalism rubric + peer evaluation + employer feedback</w:t>
            </w:r>
          </w:p>
        </w:tc>
      </w:tr>
      <w:tr>
        <w:tc>
          <w:tcPr>
            <w:tcW w:type="dxa" w:w="3159"/>
            <w:shd w:fill="F5F5F5" w:val="clear"/>
            <w:vAlign w:val="center"/>
          </w:tcPr>
          <w:p>
            <w:pPr>
              <w:spacing w:before="30" w:after="30"/>
            </w:pPr>
            <w:r>
              <w:rPr>
                <w:rFonts w:ascii="DM Sans" w:hAnsi="DM Sans" w:cs="DM Sans"/>
                <w:b/>
                <w:i w:val="0"/>
                <w:color w:val="050C2A"/>
                <w:sz w:val="20"/>
                <w:u w:val="none"/>
              </w:rPr>
              <w:t>Final Presentation</w:t>
            </w:r>
          </w:p>
        </w:tc>
        <w:tc>
          <w:tcPr>
            <w:tcW w:type="dxa" w:w="1489"/>
            <w:shd w:fill="F5F5F5" w:val="clear"/>
            <w:vAlign w:val="center"/>
          </w:tcPr>
          <w:p>
            <w:pPr>
              <w:spacing w:before="30" w:after="30"/>
            </w:pPr>
            <w:r>
              <w:rPr>
                <w:rFonts w:ascii="DM Sans" w:hAnsi="DM Sans" w:cs="DM Sans"/>
                <w:b w:val="0"/>
                <w:i w:val="0"/>
                <w:color w:val="050C2A"/>
                <w:sz w:val="20"/>
                <w:u w:val="none"/>
              </w:rPr>
              <w:t>15%</w:t>
            </w:r>
          </w:p>
        </w:tc>
        <w:tc>
          <w:tcPr>
            <w:tcW w:type="dxa" w:w="4712"/>
            <w:shd w:fill="F5F5F5" w:val="clear"/>
            <w:vAlign w:val="center"/>
          </w:tcPr>
          <w:p>
            <w:pPr>
              <w:spacing w:before="30" w:after="30"/>
            </w:pPr>
            <w:r>
              <w:rPr>
                <w:rFonts w:ascii="DM Sans" w:hAnsi="DM Sans" w:cs="DM Sans"/>
                <w:b w:val="0"/>
                <w:i w:val="0"/>
                <w:color w:val="050C2A"/>
                <w:sz w:val="20"/>
                <w:u w:val="none"/>
              </w:rPr>
              <w:t>Presentation rubric (fixed)</w:t>
            </w:r>
          </w:p>
        </w:tc>
      </w:tr>
    </w:tbl>
    <w:p>
      <w:pPr>
        <w:spacing w:before="0" w:after="120"/>
      </w:pPr>
    </w:p>
    <w:p>
      <w:pPr>
        <w:spacing w:before="0" w:after="120" w:line="276" w:lineRule="auto"/>
      </w:pPr>
      <w:r>
        <w:rPr>
          <w:rFonts w:ascii="DM Sans" w:hAnsi="DM Sans" w:cs="DM Sans"/>
          <w:b w:val="0"/>
          <w:i w:val="0"/>
          <w:color w:val="050C2A"/>
          <w:sz w:val="20"/>
          <w:u w:val="none"/>
        </w:rPr>
        <w:t>Plus: Checkpoint completion requirement (no more than two incomplete checkpoints to pass).</w:t>
      </w:r>
    </w:p>
    <w:p>
      <w:pPr>
        <w:spacing w:before="280" w:after="100"/>
      </w:pPr>
      <w:r>
        <w:rPr>
          <w:rFonts w:ascii="DM Sans" w:hAnsi="DM Sans" w:cs="DM Sans"/>
          <w:b/>
          <w:i w:val="0"/>
          <w:color w:val="050C2A"/>
          <w:sz w:val="28"/>
          <w:u w:val="none"/>
        </w:rPr>
        <w:t>Related Documents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color w:val="050C2A"/>
          <w:sz w:val="20"/>
          <w:u w:val="none"/>
        </w:rPr>
        <w:t>Rubrics</w:t>
      </w:r>
      <w:r>
        <w:rPr>
          <w:rFonts w:ascii="DM Sans" w:hAnsi="DM Sans" w:cs="DM Sans"/>
          <w:b w:val="0"/>
          <w:i w:val="0"/>
          <w:color w:val="050C2A"/>
          <w:sz w:val="20"/>
          <w:u w:val="none"/>
        </w:rPr>
        <w:t>: Detailed rubrics for each deliverable type, including scoring levels and criteria</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color w:val="050C2A"/>
          <w:sz w:val="20"/>
          <w:u w:val="none"/>
        </w:rPr>
        <w:t>Course Structure</w:t>
      </w:r>
      <w:r>
        <w:rPr>
          <w:rFonts w:ascii="DM Sans" w:hAnsi="DM Sans" w:cs="DM Sans"/>
          <w:b w:val="0"/>
          <w:i w:val="0"/>
          <w:color w:val="050C2A"/>
          <w:sz w:val="20"/>
          <w:u w:val="none"/>
        </w:rPr>
        <w:t>: Full schedule of deliverables and checkpoints by week</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color w:val="050C2A"/>
          <w:sz w:val="20"/>
          <w:u w:val="none"/>
        </w:rPr>
        <w:t>Competency Framework</w:t>
      </w:r>
      <w:r>
        <w:rPr>
          <w:rFonts w:ascii="DM Sans" w:hAnsi="DM Sans" w:cs="DM Sans"/>
          <w:b w:val="0"/>
          <w:i w:val="0"/>
          <w:color w:val="050C2A"/>
          <w:sz w:val="20"/>
          <w:u w:val="none"/>
        </w:rPr>
        <w:t>: The professional competencies assessed throughout the course</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